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center"/>
      </w:pPr>
      <w:r>
        <w:rPr>
          <w:rFonts w:ascii="Arial" w:cs="Arial" w:eastAsia="Arial" w:hAnsi="Arial"/>
          <w:b/>
          <w:bCs/>
          <w:color w:val="15233A"/>
          <w:sz w:val="22"/>
          <w:szCs w:val="22"/>
        </w:rPr>
        <w:t xml:space="preserve">MUNICIPALIDAD DISTRITAL DE SAN EJEMPLO</w:t>
      </w:r>
    </w:p>
    <w:p>
      <w:pPr>
        <w:pBdr>
          <w:bottom w:val="single" w:color="A87C2E" w:sz="10" w:space="6"/>
        </w:pBdr>
        <w:spacing w:after="160"/>
        <w:jc w:val="center"/>
      </w:pPr>
      <w:r>
        <w:rPr>
          <w:rFonts w:ascii="Arial" w:cs="Arial" w:eastAsia="Arial" w:hAnsi="Arial"/>
          <w:color w:val="55657C"/>
          <w:sz w:val="17"/>
          <w:szCs w:val="17"/>
        </w:rPr>
        <w:t xml:space="preserve">Transferencia de Gestión 2026–2027 · Ley N.° 30204, modificada por la Ley N.° 31771</w:t>
      </w:r>
    </w:p>
    <w:p>
      <w:pPr>
        <w:spacing w:after="40" w:before="80"/>
        <w:jc w:val="center"/>
      </w:pPr>
      <w:r>
        <w:rPr>
          <w:rFonts w:ascii="Arial" w:cs="Arial" w:eastAsia="Arial" w:hAnsi="Arial"/>
          <w:b/>
          <w:bCs/>
          <w:color w:val="15233A"/>
          <w:sz w:val="28"/>
          <w:szCs w:val="28"/>
        </w:rPr>
        <w:t xml:space="preserve">ACTA DE TRANSFERENCIA DE GESTIÓN</w:t>
      </w:r>
    </w:p>
    <w:p>
      <w:pPr>
        <w:spacing w:after="160"/>
        <w:jc w:val="center"/>
      </w:pPr>
      <w:r>
        <w:rPr>
          <w:rFonts w:ascii="Arial" w:cs="Arial" w:eastAsia="Arial" w:hAnsi="Arial"/>
          <w:color w:val="0B6E78"/>
          <w:sz w:val="18"/>
          <w:szCs w:val="18"/>
        </w:rPr>
        <w:t xml:space="preserve">Municipalidad Distrital de San Ejemplo · Período 2023–2026 a 2027–2030</w:t>
      </w:r>
    </w:p>
    <w:p>
      <w:pPr>
        <w:spacing w:after="120"/>
      </w:pPr>
      <w:r>
        <w:rPr>
          <w:rFonts w:ascii="Arial" w:cs="Arial" w:eastAsia="Arial" w:hAnsi="Arial"/>
          <w:i/>
          <w:iCs/>
          <w:color w:val="55657C"/>
          <w:sz w:val="16"/>
          <w:szCs w:val="16"/>
        </w:rPr>
        <w:t xml:space="preserve">EJEMPLO LLENADO con datos ficticios de una municipalidad imaginaria. Para su entidad, use la plantilla. Se firma a más tardar el quinto día hábil de la nueva gestión (8 de enero de 2027). Al acta se anexa el último Informe de Rendición de Cuentas y Transferencia (Ley N.° 30204, art. 4, modificado por la Ley N.° 31771).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7438"/>
      </w:tblGrid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Lugar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Plaza de Armas s/n, San Ejemplo, Provincia Modelo, Departamento Modelo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Fecha y hora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7 de enero de 2027, a las 11:00 horas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I. Integrantes de la Comisión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4400"/>
        <w:gridCol w:w="4538"/>
      </w:tblGrid>
      <w:tr>
        <w:trPr>
          <w:cantSplit/>
          <w:tblHeader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N.°</w:t>
            </w:r>
          </w:p>
        </w:tc>
        <w:tc>
          <w:tcPr>
            <w:tcW w:type="dxa" w:w="4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Nombre completo</w:t>
            </w:r>
          </w:p>
        </w:tc>
        <w:tc>
          <w:tcPr>
            <w:tcW w:type="dxa" w:w="45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Representa a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1</w:t>
            </w:r>
          </w:p>
        </w:tc>
        <w:tc>
          <w:tcPr>
            <w:tcW w:type="dxa" w:w="4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Juan Pérez Quispe</w:t>
            </w:r>
          </w:p>
        </w:tc>
        <w:tc>
          <w:tcPr>
            <w:tcW w:type="dxa" w:w="45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Autoridad que entrega · Presidente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2</w:t>
            </w:r>
          </w:p>
        </w:tc>
        <w:tc>
          <w:tcPr>
            <w:tcW w:type="dxa" w:w="4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Rosa Huamán Torres</w:t>
            </w:r>
          </w:p>
        </w:tc>
        <w:tc>
          <w:tcPr>
            <w:tcW w:type="dxa" w:w="45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Autoridad que recibe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3</w:t>
            </w:r>
          </w:p>
        </w:tc>
        <w:tc>
          <w:tcPr>
            <w:tcW w:type="dxa" w:w="4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Luis Gómez Salas</w:t>
            </w:r>
          </w:p>
        </w:tc>
        <w:tc>
          <w:tcPr>
            <w:tcW w:type="dxa" w:w="45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Gestión saliente · Gerente(a) general regional o municipal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4</w:t>
            </w:r>
          </w:p>
        </w:tc>
        <w:tc>
          <w:tcPr>
            <w:tcW w:type="dxa" w:w="4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Carmen Vargas Ríos</w:t>
            </w:r>
          </w:p>
        </w:tc>
        <w:tc>
          <w:tcPr>
            <w:tcW w:type="dxa" w:w="45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Gestión saliente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5</w:t>
            </w:r>
          </w:p>
        </w:tc>
        <w:tc>
          <w:tcPr>
            <w:tcW w:type="dxa" w:w="4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Jorge Mendoza Cruz</w:t>
            </w:r>
          </w:p>
        </w:tc>
        <w:tc>
          <w:tcPr>
            <w:tcW w:type="dxa" w:w="45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Gestión entrante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6</w:t>
            </w:r>
          </w:p>
        </w:tc>
        <w:tc>
          <w:tcPr>
            <w:tcW w:type="dxa" w:w="4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Elena Ramos Chávez</w:t>
            </w:r>
          </w:p>
        </w:tc>
        <w:tc>
          <w:tcPr>
            <w:tcW w:type="dxa" w:w="45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Gestión entrante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II. Constancias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La autoridad que entrega registró el Informe de Rendición de Cuentas y Transferencia en el aplicativo de la Contraloría General de la República el 15 de diciembre de 2026, el cual se anexa a la presente acta.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La Comisión recibió la información detallada en el Anexo 1, en formato digital, mediante el oficio N.° 041-2026-MDSE de fecha 13/11/2026.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La Comisión verificó los bienes, el presupuesto, los contratos y las obras con los resultados que constan en el Anexo 2.</w:t>
      </w:r>
    </w:p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III. Observaciones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5338"/>
        <w:gridCol w:w="1500"/>
        <w:gridCol w:w="2100"/>
      </w:tblGrid>
      <w:tr>
        <w:trPr>
          <w:cantSplit/>
          <w:tblHeader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N.°</w:t>
            </w:r>
          </w:p>
        </w:tc>
        <w:tc>
          <w:tcPr>
            <w:tcW w:type="dxa" w:w="53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Observación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Situación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1</w:t>
            </w:r>
          </w:p>
        </w:tc>
        <w:tc>
          <w:tcPr>
            <w:tcW w:type="dxa" w:w="53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Tres computadoras del inventario no fueron ubicadas en la verificación física.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C-04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Pendiente: se comunicó al OCI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2</w:t>
            </w:r>
          </w:p>
        </w:tc>
        <w:tc>
          <w:tcPr>
            <w:tcW w:type="dxa" w:w="53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La liquidación de la obra de mejoramiento del camino vecinal no estaba concluida.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D-02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Subsanada el 18/12/2026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3</w:t>
            </w:r>
          </w:p>
        </w:tc>
        <w:tc>
          <w:tcPr>
            <w:tcW w:type="dxa" w:w="53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Faltaba la relación de usuarios del SEACE.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G-03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Subsanada el 20/11/2026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IV. Anexos</w:t>
      </w:r>
    </w:p>
    <w:p>
      <w:pPr>
        <w:pStyle w:val="ListParagraph"/>
        <w:numPr>
          <w:ilvl w:val="0"/>
          <w:numId w:val="3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Anexo 1: Relación de los entregables recibidos.</w:t>
      </w:r>
    </w:p>
    <w:p>
      <w:pPr>
        <w:pStyle w:val="ListParagraph"/>
        <w:numPr>
          <w:ilvl w:val="0"/>
          <w:numId w:val="3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Anexo 2: Resultados de la verificación (checklists con semáforo).</w:t>
      </w:r>
    </w:p>
    <w:p>
      <w:pPr>
        <w:pStyle w:val="ListParagraph"/>
        <w:numPr>
          <w:ilvl w:val="0"/>
          <w:numId w:val="3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Anexo 3: Último Informe de Rendición de Cuentas y Transferencia.</w:t>
      </w:r>
    </w:p>
    <w:p>
      <w:pPr>
        <w:pStyle w:val="ListParagraph"/>
        <w:numPr>
          <w:ilvl w:val="0"/>
          <w:numId w:val="3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Anexo 4: Relación de dos procesos judiciales en curso, con su riesgo económico estimado.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En señal de conformidad, firman los integrantes de la Comisión. Siendo las 12:00 horas, se da por concluido el acto.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19"/>
        <w:gridCol w:w="4819"/>
      </w:tblGrid>
      <w:tr>
        <w:trPr>
          <w:cantSplit/>
        </w:trP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6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Juan Pérez Quispe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Autoridad que entrega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6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Rosa Huamán Torres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Autoridad que recibe</w:t>
            </w:r>
          </w:p>
        </w:tc>
      </w:tr>
      <w:tr>
        <w:trPr>
          <w:cantSplit/>
        </w:trP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6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Luis Gómez Salas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Gerente(a) general regional o municipal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6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Carmen Vargas Ríos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Representante de la gestión saliente</w:t>
            </w:r>
          </w:p>
        </w:tc>
      </w:tr>
      <w:tr>
        <w:trPr>
          <w:cantSplit/>
        </w:trP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6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Jorge Mendoza Cruz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Representante de la gestión entrante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6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Elena Ramos Chávez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Representante de la gestión entrante</w:t>
            </w:r>
          </w:p>
        </w:tc>
      </w:tr>
    </w:tbl>
    <w:sectPr>
      <w:footerReference w:type="default" r:id="rId7"/>
      <w:pgSz w:w="11906" w:h="16838" w:orient="portrait"/>
      <w:pgMar w:top="1000" w:right="1134" w:bottom="100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3DAE3" w:sz="4" w:space="4"/>
      </w:pBdr>
      <w:jc w:val="center"/>
    </w:pPr>
    <w:r>
      <w:rPr>
        <w:rFonts w:ascii="Arial" w:cs="Arial" w:eastAsia="Arial" w:hAnsi="Arial"/>
        <w:color w:val="55657C"/>
        <w:sz w:val="14"/>
        <w:szCs w:val="14"/>
      </w:rPr>
      <w:t xml:space="preserve">Kit de Entrega de Gestión 2026 · Acta de transferencia · NÚCLEO · nucleo@miespaciodigital.net · Página </w:t>
    </w:r>
    <w:r>
      <w:rPr>
        <w:rFonts w:ascii="Arial" w:cs="Arial" w:eastAsia="Arial" w:hAnsi="Arial"/>
        <w:color w:val="55657C"/>
        <w:sz w:val="14"/>
        <w:szCs w:val="14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4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4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5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4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outlineLvl w:val="0"/>
    </w:pPr>
    <w:rPr>
      <w:rFonts w:ascii="Arial" w:cs="Arial" w:eastAsia="Arial" w:hAnsi="Arial"/>
      <w:b/>
      <w:bCs/>
      <w:color w:val="15233A"/>
      <w:sz w:val="26"/>
      <w:szCs w:val="26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Arial" w:cs="Arial" w:eastAsia="Arial" w:hAnsi="Arial"/>
      <w:b/>
      <w:bCs/>
      <w:color w:val="0B6E78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 de Entrega de Gestión 2026 · Acta de transferencia</dc:title>
  <dc:creator>Ing. Santos Jaimes Serkovic · NÚCLEO</dc:creator>
  <cp:lastModifiedBy>Un-named</cp:lastModifiedBy>
  <cp:revision>1</cp:revision>
  <dcterms:created xsi:type="dcterms:W3CDTF">2026-10-01T12:47:06.184Z</dcterms:created>
  <dcterms:modified xsi:type="dcterms:W3CDTF">2026-10-01T12:47:06.184Z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