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/>
        <w:jc w:val="center"/>
      </w:pPr>
      <w:r>
        <w:rPr>
          <w:rFonts w:ascii="Arial" w:cs="Arial" w:eastAsia="Arial" w:hAnsi="Arial"/>
          <w:b/>
          <w:bCs/>
          <w:color w:val="15233A"/>
          <w:sz w:val="22"/>
          <w:szCs w:val="22"/>
        </w:rPr>
        <w:t xml:space="preserve">MUNICIPALIDAD DISTRITAL DE SAN EJEMPLO</w:t>
      </w:r>
    </w:p>
    <w:p>
      <w:pPr>
        <w:pBdr>
          <w:bottom w:val="single" w:color="A87C2E" w:sz="10" w:space="6"/>
        </w:pBdr>
        <w:spacing w:after="160"/>
        <w:jc w:val="center"/>
      </w:pPr>
      <w:r>
        <w:rPr>
          <w:rFonts w:ascii="Arial" w:cs="Arial" w:eastAsia="Arial" w:hAnsi="Arial"/>
          <w:color w:val="55657C"/>
          <w:sz w:val="17"/>
          <w:szCs w:val="17"/>
        </w:rPr>
        <w:t xml:space="preserve">Transferencia de Gestión 2026–2027 · Ley N.° 30204, modificada por la Ley N.° 31771</w:t>
      </w:r>
    </w:p>
    <w:p>
      <w:pPr>
        <w:spacing w:after="120"/>
      </w:pPr>
      <w:r>
        <w:rPr>
          <w:rFonts w:ascii="Arial" w:cs="Arial" w:eastAsia="Arial" w:hAnsi="Arial"/>
          <w:i/>
          <w:iCs/>
          <w:color w:val="55657C"/>
          <w:sz w:val="16"/>
          <w:szCs w:val="16"/>
        </w:rPr>
        <w:t xml:space="preserve">EJEMPLO LLENADO con datos ficticios de una municipalidad imaginaria. Para su entidad, use la plantilla.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7038"/>
      </w:tblGrid>
      <w:tr>
        <w:trPr>
          <w:cantSplit/>
          <w:tblHeader w:val="false"/>
        </w:trPr>
        <w:tc>
          <w:tcPr>
            <w:tcW w:type="dxa" w:w="2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MEMORANDO MÚLTIPLE N.°</w:t>
            </w:r>
          </w:p>
        </w:tc>
        <w:tc>
          <w:tcPr>
            <w:tcW w:type="dxa" w:w="70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014-2026-MDSE</w:t>
            </w:r>
          </w:p>
        </w:tc>
      </w:tr>
      <w:tr>
        <w:trPr>
          <w:cantSplit/>
          <w:tblHeader w:val="false"/>
        </w:trPr>
        <w:tc>
          <w:tcPr>
            <w:tcW w:type="dxa" w:w="2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</w:t>
            </w:r>
          </w:p>
        </w:tc>
        <w:tc>
          <w:tcPr>
            <w:tcW w:type="dxa" w:w="70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Gerentes, subgerentes y jefes de las unidades orgánicas</w:t>
            </w:r>
          </w:p>
        </w:tc>
      </w:tr>
      <w:tr>
        <w:trPr>
          <w:cantSplit/>
          <w:tblHeader w:val="false"/>
        </w:trPr>
        <w:tc>
          <w:tcPr>
            <w:tcW w:type="dxa" w:w="2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De</w:t>
            </w:r>
          </w:p>
        </w:tc>
        <w:tc>
          <w:tcPr>
            <w:tcW w:type="dxa" w:w="70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before="40"/>
            </w:pPr>
            <w:r>
              <w:rPr>
                <w:rFonts w:ascii="Arial" w:cs="Arial" w:eastAsia="Arial" w:hAnsi="Arial"/>
                <w:b/>
                <w:bCs/>
                <w:sz w:val="17"/>
                <w:szCs w:val="17"/>
              </w:rPr>
              <w:t xml:space="preserve">LUIS GÓMEZ SALAS</w:t>
            </w: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br/>
              <w:t xml:space="preserve">Gerente municipal</w:t>
            </w:r>
          </w:p>
        </w:tc>
      </w:tr>
      <w:tr>
        <w:trPr>
          <w:cantSplit/>
          <w:tblHeader w:val="false"/>
        </w:trPr>
        <w:tc>
          <w:tcPr>
            <w:tcW w:type="dxa" w:w="2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Asunto</w:t>
            </w:r>
          </w:p>
        </w:tc>
        <w:tc>
          <w:tcPr>
            <w:tcW w:type="dxa" w:w="70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Preparación de la información para la transferencia de gestión 2026–2027</w:t>
            </w:r>
          </w:p>
        </w:tc>
      </w:tr>
      <w:tr>
        <w:trPr>
          <w:cantSplit/>
          <w:tblHeader w:val="false"/>
        </w:trPr>
        <w:tc>
          <w:tcPr>
            <w:tcW w:type="dxa" w:w="2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Fecha</w:t>
            </w:r>
          </w:p>
        </w:tc>
        <w:tc>
          <w:tcPr>
            <w:tcW w:type="dxa" w:w="70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San Ejemplo, 5 de octubre de 2026</w:t>
            </w:r>
          </w:p>
        </w:tc>
      </w:tr>
    </w:tbl>
    <w:p>
      <w:pPr>
        <w:spacing w:after="80"/>
      </w:pP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Por disposición del Alcalde, y en cumplimiento de la Ley N.° 30204, modificada por la Ley N.° 31771, y de la Directiva N.° 016-2022-CG/PREVI de la Contraloría General de la República, modificada por la Resolución N.° 344-2026-CG, se dispone que cada unidad orgánica prepare la información de su competencia y la entregue al Equipo de Transferencia del Titular Saliente (ETTS), para su revisión y registro en el aplicativo RC-TG.</w:t>
      </w:r>
    </w:p>
    <w:p>
      <w:pPr>
        <w:spacing w:after="100" w:line="264"/>
        <w:jc w:val="both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Se dispone:</w:t>
      </w:r>
    </w:p>
    <w:p>
      <w:pPr>
        <w:pStyle w:val="ListParagraph"/>
        <w:numPr>
          <w:ilvl w:val="0"/>
          <w:numId w:val="2"/>
        </w:numPr>
        <w:spacing w:after="60" w:line="252"/>
      </w:pPr>
      <w:r>
        <w:rPr>
          <w:rFonts w:ascii="Arial" w:cs="Arial" w:eastAsia="Arial" w:hAnsi="Arial"/>
          <w:sz w:val="20"/>
          <w:szCs w:val="20"/>
        </w:rPr>
        <w:t xml:space="preserve">Designar en cada unidad orgánica a un responsable de la entrega y comunicar su nombre a esta gerencia hasta el 9 de octubre de 2026.</w:t>
      </w:r>
    </w:p>
    <w:p>
      <w:pPr>
        <w:pStyle w:val="ListParagraph"/>
        <w:numPr>
          <w:ilvl w:val="0"/>
          <w:numId w:val="2"/>
        </w:numPr>
        <w:spacing w:after="60" w:line="252"/>
      </w:pPr>
      <w:r>
        <w:rPr>
          <w:rFonts w:ascii="Arial" w:cs="Arial" w:eastAsia="Arial" w:hAnsi="Arial"/>
          <w:sz w:val="20"/>
          <w:szCs w:val="20"/>
        </w:rPr>
        <w:t xml:space="preserve">Preparar los entregables que le corresponden según el anexo, en formato digital (PDF con texto buscable y, si contiene datos, también en Excel), con el nombre MDSE_[CÓDIGO]_[DESCRIPCIÓN]_[AAAAMMDD].pdf.</w:t>
      </w:r>
    </w:p>
    <w:p>
      <w:pPr>
        <w:pStyle w:val="ListParagraph"/>
        <w:numPr>
          <w:ilvl w:val="0"/>
          <w:numId w:val="2"/>
        </w:numPr>
        <w:spacing w:after="60" w:line="252"/>
      </w:pPr>
      <w:r>
        <w:rPr>
          <w:rFonts w:ascii="Arial" w:cs="Arial" w:eastAsia="Arial" w:hAnsi="Arial"/>
          <w:sz w:val="20"/>
          <w:szCs w:val="20"/>
        </w:rPr>
        <w:t xml:space="preserve">Registrar el avance en la autoevaluación (Checklist 0) cada viernes.</w:t>
      </w:r>
    </w:p>
    <w:p>
      <w:pPr>
        <w:pStyle w:val="ListParagraph"/>
        <w:numPr>
          <w:ilvl w:val="0"/>
          <w:numId w:val="2"/>
        </w:numPr>
        <w:spacing w:after="60" w:line="252"/>
      </w:pPr>
      <w:r>
        <w:rPr>
          <w:rFonts w:ascii="Arial" w:cs="Arial" w:eastAsia="Arial" w:hAnsi="Arial"/>
          <w:sz w:val="20"/>
          <w:szCs w:val="20"/>
        </w:rPr>
        <w:t xml:space="preserve">Verificar que la información coincida con los sistemas oficiales (SIAF, SIGA, SEACE, Infobras, AIRHSP y SUNARP) y corregir las diferencias.</w:t>
      </w:r>
    </w:p>
    <w:p>
      <w:pPr>
        <w:pStyle w:val="ListParagraph"/>
        <w:numPr>
          <w:ilvl w:val="0"/>
          <w:numId w:val="2"/>
        </w:numPr>
        <w:spacing w:after="60" w:line="252"/>
      </w:pPr>
      <w:r>
        <w:rPr>
          <w:rFonts w:ascii="Arial" w:cs="Arial" w:eastAsia="Arial" w:hAnsi="Arial"/>
          <w:sz w:val="20"/>
          <w:szCs w:val="20"/>
        </w:rPr>
        <w:t xml:space="preserve">Entregar la información completa a esta gerencia hasta el 6 de noviembre de 2026.</w:t>
      </w: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El cumplimiento de esta disposición es obligatorio. La transferencia de gestión se realiza bajo responsabilidad, conforme al artículo 3 de la Ley N.° 30204.</w:t>
      </w: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Atentamente,</w:t>
      </w:r>
    </w:p>
    <w:p>
      <w:pPr>
        <w:spacing w:after="260"/>
      </w:pPr>
    </w:p>
    <w:p>
      <w:pPr>
        <w:spacing w:after="0"/>
        <w:jc w:val="center"/>
      </w:pPr>
      <w:r>
        <w:rPr>
          <w:rFonts w:ascii="Arial" w:cs="Arial" w:eastAsia="Arial" w:hAnsi="Arial"/>
          <w:sz w:val="20"/>
          <w:szCs w:val="20"/>
        </w:rPr>
        <w:t xml:space="preserve">_____________________________________________</w:t>
      </w:r>
    </w:p>
    <w:p>
      <w:pPr>
        <w:spacing w:after="0"/>
        <w:jc w:val="center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LUIS GÓMEZ SALAS</w:t>
      </w:r>
    </w:p>
    <w:p>
      <w:pPr>
        <w:spacing w:after="0"/>
        <w:jc w:val="center"/>
      </w:pPr>
      <w:r>
        <w:rPr>
          <w:rFonts w:ascii="Arial" w:cs="Arial" w:eastAsia="Arial" w:hAnsi="Arial"/>
          <w:sz w:val="20"/>
          <w:szCs w:val="20"/>
        </w:rPr>
        <w:t xml:space="preserve">Gerente municipal</w:t>
      </w:r>
    </w:p>
    <w:p>
      <w:r>
        <w:br w:type="page"/>
      </w:r>
    </w:p>
    <w:p>
      <w:pPr>
        <w:spacing w:after="160"/>
        <w:jc w:val="center"/>
      </w:pPr>
      <w:r>
        <w:rPr>
          <w:rFonts w:ascii="Arial" w:cs="Arial" w:eastAsia="Arial" w:hAnsi="Arial"/>
          <w:b/>
          <w:bCs/>
          <w:color w:val="15233A"/>
          <w:sz w:val="24"/>
          <w:szCs w:val="24"/>
        </w:rPr>
        <w:t xml:space="preserve">ANEXO · Entregables, responsables y plazos</w:t>
      </w:r>
    </w:p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A. Información institucional y de gestión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5838"/>
        <w:gridCol w:w="1900"/>
        <w:gridCol w:w="1000"/>
      </w:tblGrid>
      <w:tr>
        <w:trPr>
          <w:cantSplit/>
          <w:tblHeader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Código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Unidad responsable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Plazo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A-01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Informe de rendición de cuentas y transferencia del titular saliente, registrado en el aplicativo de la Contraloría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Planeamiento y Presupuesto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16/10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A-02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ROF, organigrama y Cuadro para Asignación de Personal (CAP o CAP Provisional) vigentes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Planeamiento y Presupuesto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16/10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A-03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Plan de Desarrollo Regional o Local Concertado, PEI y POI vigentes, con su última evaluación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Planeamiento y Presupuesto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16/10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A-04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Resultados al cierre de la gestión: metas del POI frente a lo ejecutado e indicadores del PEI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Planeamiento y Presupuesto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16/10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A-05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Asuntos de atención prioritaria para la nueva gestión, incluidos conflictos sociales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Planeamiento y Presupuesto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16/10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A-06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TUPA y TUSNE vigentes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Planeamiento y Presupuesto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16/10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A-07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Ordenanzas, acuerdos de consejo regional o de concejo municipal y decretos emitidos en el período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Planeamiento y Presupuesto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16/10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A-08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Recomendaciones del OCI y de la Contraloría pendientes de implementar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Planeamiento y Presupuesto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16/10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B. Presupuesto, finanzas e ingresos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5838"/>
        <w:gridCol w:w="1900"/>
        <w:gridCol w:w="1000"/>
      </w:tblGrid>
      <w:tr>
        <w:trPr>
          <w:cantSplit/>
          <w:tblHeader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Código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Unidad responsable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Plazo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B-01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Presupuesto Institucional de Apertura (PIA) y Modificado (PIM) 2026, por fuente de financiamiento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Administración y Finanzas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23/10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B-02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Ejecución presupuestal a la fecha de corte, por genérica de gasto y meta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Administración y Finanzas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23/10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B-03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Compromisos y devengados pendientes de pago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Administración y Finanzas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23/10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B-04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Transferencias recibidas (FONCOMUN, canon, programas e incentivos, convenios) y su ejecución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Administración y Finanzas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23/10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B-05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Estados financieros, saldos de cuentas bancarias y conciliaciones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Administración y Finanzas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23/10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B-06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Arqueo de caja chica y fondos fijos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Administración y Finanzas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23/10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B-07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Deudas con proveedores, contratistas, SUNAT, EsSalud, AFP y por sentencias judiciales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Administración y Finanzas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23/10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B-08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Ingresos propios y cuentas por cobrar: en municipalidades, predial, arbitrios, licencias y multas; en gobiernos regionales, tasas y derechos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Administración y Finanzas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23/10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C. Bienes, inmuebles y almacenes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5838"/>
        <w:gridCol w:w="1900"/>
        <w:gridCol w:w="1000"/>
      </w:tblGrid>
      <w:tr>
        <w:trPr>
          <w:cantSplit/>
          <w:tblHeader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Código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Unidad responsable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Plazo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C-01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Inventario físico de bienes muebles con código, estado y ubicación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Logística y Patrimonio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23/10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C-02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Inmuebles con partida registral, saneamiento físico legal, área y uso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Logística y Patrimonio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23/10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C-03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Vehículos y maquinaria pesada: placa, año, estado, asignación y consumo de combustible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Logística y Patrimonio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23/10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C-04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Equipos informáticos y de comunicaciones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Logística y Patrimonio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23/10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C-05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Almacén: existencias de materiales e insumos, incluidos los de programas sociales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Logística y Patrimonio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23/10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C-06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Bienes faltantes, sobrantes o en proceso de baja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Logística y Patrimonio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23/10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C-07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Bienes cedidos, recibidos en comodato o arrendados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Logística y Patrimonio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23/10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D. Contratos, obras, inversiones y servicios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5838"/>
        <w:gridCol w:w="1900"/>
        <w:gridCol w:w="1000"/>
      </w:tblGrid>
      <w:tr>
        <w:trPr>
          <w:cantSplit/>
          <w:tblHeader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Código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Unidad responsable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Plazo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D-01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Contratos de bienes y servicios vigentes con su estado de ejecución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Infraestructura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30/10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D-02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Obras en ejecución con avance físico y financiero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Infraestructura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30/10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D-03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Obras paralizadas, en arbitraje o con controversias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Infraestructura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30/10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D-04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Cartera de inversiones: Programa Multianual, inversiones viables y expedientes técnicos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Infraestructura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30/10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D-05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Convenios vigentes con otros niveles de gobierno, otras entidades y la cooperación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Infraestructura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30/10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D-06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Procesos de selección en curso, desiertos o por convocar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Infraestructura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30/10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D-07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Programas sociales y sus padrones: en municipalidades, Vaso de Leche, complementación alimentaria, DEMUNA, OMAPED y CIAM; en gobiernos regionales, los programas a su cargo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Infraestructura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30/10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D-08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Servicios y unidades operativas: en municipalidades, limpieza pública, mercados, camal y agua; en gobiernos regionales, direcciones regionales sectoriales, proyectos especiales y unidades ejecutoras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Infraestructura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30/10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E. Personal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5838"/>
        <w:gridCol w:w="1900"/>
        <w:gridCol w:w="1000"/>
      </w:tblGrid>
      <w:tr>
        <w:trPr>
          <w:cantSplit/>
          <w:tblHeader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Código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Unidad responsable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Plazo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E-01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Planilla por régimen laboral (D. L. 276, D. L. 728, CAS y Ley del Servicio Civil)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Recursos Humanos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16/10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E-02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Personal de confianza y directivo, con sus legajos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Recursos Humanos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16/10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E-03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Contratos CAS vigentes, fechas de vencimiento y contratos a plazo indeterminado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Recursos Humanos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16/10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E-04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Procedimientos administrativos disciplinarios en curso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Recursos Humanos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16/10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E-05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Vacaciones pendientes, beneficios sociales adeudados y convenios colectivos vigentes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Recursos Humanos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16/10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F. Archivo y asuntos legales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5838"/>
        <w:gridCol w:w="1900"/>
        <w:gridCol w:w="1000"/>
      </w:tblGrid>
      <w:tr>
        <w:trPr>
          <w:cantSplit/>
          <w:tblHeader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Código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Unidad responsable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Plazo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F-01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Inventario del archivo de gestión y del archivo central, por series documentales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Secretaría General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30/10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F-02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Expedientes técnicos y liquidaciones de obras e inversiones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Secretaría General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30/10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F-03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Libros de actas de sesiones del concejo municipal o del consejo regional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Secretaría General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30/10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F-04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Procesos judiciales, arbitrales y administrativos, con su riesgo económico estimado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Secretaría General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30/10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G. Sistemas, accesos y tecnología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5838"/>
        <w:gridCol w:w="1900"/>
        <w:gridCol w:w="1000"/>
      </w:tblGrid>
      <w:tr>
        <w:trPr>
          <w:cantSplit/>
          <w:tblHeader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Código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Unidad responsable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Plazo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G-01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Usuarios y perfiles activos en el SIAF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Tecnologías de la Información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16/10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G-02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Usuarios y perfiles activos en el SIGA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Tecnologías de la Información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16/10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G-03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Usuarios y certificados del SEACE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Tecnologías de la Información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16/10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G-04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Usuarios del Banco de Inversiones (Invierte.pe)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Tecnologías de la Información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16/10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G-05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Administración del portal de transparencia, página en gob.pe, redes sociales, dominios y correos institucionales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Tecnologías de la Información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16/10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G-06</w:t>
            </w:r>
          </w:p>
        </w:tc>
        <w:tc>
          <w:tcPr>
            <w:tcW w:type="dxa" w:w="58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Infraestructura tecnológica: servidores, copias de respaldo, licencias, sistema de rentas y de trámite documentario</w:t>
            </w:r>
          </w:p>
        </w:tc>
        <w:tc>
          <w:tcPr>
            <w:tcW w:type="dxa" w:w="1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Tecnologías de la Información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16/10</w:t>
            </w:r>
          </w:p>
        </w:tc>
      </w:tr>
    </w:tbl>
    <w:sectPr>
      <w:footerReference w:type="default" r:id="rId7"/>
      <w:pgSz w:w="11906" w:h="16838" w:orient="portrait"/>
      <w:pgMar w:top="1000" w:right="1134" w:bottom="100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D3DAE3" w:sz="4" w:space="4"/>
      </w:pBdr>
      <w:jc w:val="center"/>
    </w:pPr>
    <w:r>
      <w:rPr>
        <w:rFonts w:ascii="Arial" w:cs="Arial" w:eastAsia="Arial" w:hAnsi="Arial"/>
        <w:color w:val="55657C"/>
        <w:sz w:val="14"/>
        <w:szCs w:val="14"/>
      </w:rPr>
      <w:t xml:space="preserve">Kit de Entrega de Gestión 2026 · Memorando interno · NÚCLEO · nucleo@miespaciodigital.net · Página </w:t>
    </w:r>
    <w:r>
      <w:rPr>
        <w:rFonts w:ascii="Arial" w:cs="Arial" w:eastAsia="Arial" w:hAnsi="Arial"/>
        <w:color w:val="55657C"/>
        <w:sz w:val="14"/>
        <w:szCs w:val="14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00" w:hanging="240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abstractNum w:abstractNumId="4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abstractNum w:abstractNumId="5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num w:numId="1">
    <w:abstractNumId w:val="1"/>
    <w:lvlOverride w:ilvl="0">
      <w:startOverride w:val="1"/>
    </w:lvlOverride>
  </w:num>
  <w:num w:numId="2">
    <w:abstractNumId w:val="3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outlineLvl w:val="0"/>
    </w:pPr>
    <w:rPr>
      <w:rFonts w:ascii="Arial" w:cs="Arial" w:eastAsia="Arial" w:hAnsi="Arial"/>
      <w:b/>
      <w:bCs/>
      <w:color w:val="15233A"/>
      <w:sz w:val="26"/>
      <w:szCs w:val="26"/>
    </w:rPr>
  </w:style>
  <w:style w:type="paragraph" w:styleId="Heading2">
    <w:name w:val="Heading 2"/>
    <w:basedOn w:val="Normal"/>
    <w:next w:val="Normal"/>
    <w:qFormat/>
    <w:pPr>
      <w:outlineLvl w:val="1"/>
    </w:pPr>
    <w:rPr>
      <w:rFonts w:ascii="Arial" w:cs="Arial" w:eastAsia="Arial" w:hAnsi="Arial"/>
      <w:b/>
      <w:bCs/>
      <w:color w:val="0B6E78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Kit de Entrega de Gestión 2026 · Memorando interno</dc:title>
  <dc:creator>Ing. Santos Jaimes Serkovic · NÚCLEO</dc:creator>
  <cp:lastModifiedBy>Un-named</cp:lastModifiedBy>
  <cp:revision>1</cp:revision>
  <dcterms:created xsi:type="dcterms:W3CDTF">2026-10-01T12:47:06.102Z</dcterms:created>
  <dcterms:modified xsi:type="dcterms:W3CDTF">2026-10-01T12:47:06.102Z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