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600"/>
      </w:pPr>
      <w:r>
        <w:rPr>
          <w:rFonts w:ascii="Arial" w:cs="Arial" w:eastAsia="Arial" w:hAnsi="Arial"/>
          <w:b/>
          <w:bCs/>
          <w:color w:val="A87C2E"/>
          <w:spacing w:val="40"/>
          <w:sz w:val="20"/>
          <w:szCs w:val="20"/>
        </w:rPr>
        <w:t xml:space="preserve">KIT DE TRANSFERENCIA DE GESTIÓN 2026 · GOBIERNOS REGIONALES Y MUNICIPALIDADES</w:t>
      </w:r>
    </w:p>
    <w:p>
      <w:pPr>
        <w:spacing w:after="120"/>
      </w:pPr>
      <w:r>
        <w:rPr>
          <w:rFonts w:ascii="Arial" w:cs="Arial" w:eastAsia="Arial" w:hAnsi="Arial"/>
          <w:b/>
          <w:bCs/>
          <w:color w:val="15233A"/>
          <w:sz w:val="48"/>
          <w:szCs w:val="48"/>
        </w:rPr>
        <w:t xml:space="preserve">Guía Maestra para Autoridades Electas</w:t>
      </w:r>
    </w:p>
    <w:p>
      <w:pPr>
        <w:pBdr>
          <w:bottom w:val="single" w:color="A87C2E" w:sz="12" w:space="8"/>
        </w:pBdr>
        <w:spacing w:after="360"/>
      </w:pPr>
      <w:r>
        <w:rPr>
          <w:rFonts w:ascii="Arial" w:cs="Arial" w:eastAsia="Arial" w:hAnsi="Arial"/>
          <w:color w:val="0B6E78"/>
          <w:sz w:val="24"/>
          <w:szCs w:val="24"/>
        </w:rPr>
        <w:t xml:space="preserve">Cómo recibir su gobierno regional o su municipalidad ordenado, verificado y listo para gestionar por resultados desde el 1 de enero de 2027</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2409"/>
        <w:gridCol w:w="2409"/>
        <w:gridCol w:w="2410"/>
        <w:gridCol w:w="2410"/>
      </w:tblGrid>
      <w:tr>
        <w:trPr>
          <w:cantSplit/>
          <w:tblHeader w:val="false"/>
        </w:trPr>
        <w:tc>
          <w:tcPr>
            <w:tcW w:type="dxa" w:w="2409"/>
            <w:tcBorders>
              <w:top w:val="single" w:color="D3DAE3" w:sz="4"/>
              <w:left w:val="single" w:color="D3DAE3" w:sz="4"/>
              <w:bottom w:val="single" w:color="D3DAE3" w:sz="4"/>
              <w:right w:val="single" w:color="D3DAE3" w:sz="4"/>
            </w:tcBorders>
            <w:shd w:fill="E8F3F4" w:color="auto" w:val="clear"/>
            <w:tcMar>
              <w:top w:type="dxa" w:w="60"/>
              <w:left w:type="dxa" w:w="90"/>
              <w:bottom w:type="dxa" w:w="60"/>
              <w:right w:type="dxa" w:w="90"/>
            </w:tcMar>
          </w:tcPr>
          <w:p>
            <w:pPr>
              <w:spacing w:after="0" w:before="40"/>
            </w:pPr>
            <w:r>
              <w:rPr>
                <w:rFonts w:ascii="Arial" w:cs="Arial" w:eastAsia="Arial" w:hAnsi="Arial"/>
                <w:b/>
                <w:bCs/>
                <w:color w:val="0B6E78"/>
                <w:sz w:val="40"/>
                <w:szCs w:val="40"/>
              </w:rPr>
              <w:t xml:space="preserve">46</w:t>
            </w:r>
          </w:p>
        </w:tc>
        <w:tc>
          <w:tcPr>
            <w:tcW w:type="dxa" w:w="2409"/>
            <w:tcBorders>
              <w:top w:val="single" w:color="D3DAE3" w:sz="4"/>
              <w:left w:val="single" w:color="D3DAE3" w:sz="4"/>
              <w:bottom w:val="single" w:color="D3DAE3" w:sz="4"/>
              <w:right w:val="single" w:color="D3DAE3" w:sz="4"/>
            </w:tcBorders>
            <w:shd w:fill="E8F3F4" w:color="auto" w:val="clear"/>
            <w:tcMar>
              <w:top w:type="dxa" w:w="60"/>
              <w:left w:type="dxa" w:w="90"/>
              <w:bottom w:type="dxa" w:w="60"/>
              <w:right w:type="dxa" w:w="90"/>
            </w:tcMar>
          </w:tcPr>
          <w:p>
            <w:pPr>
              <w:spacing w:after="0" w:before="40"/>
            </w:pPr>
            <w:r>
              <w:rPr>
                <w:rFonts w:ascii="Arial" w:cs="Arial" w:eastAsia="Arial" w:hAnsi="Arial"/>
                <w:b/>
                <w:bCs/>
                <w:color w:val="0B6E78"/>
                <w:sz w:val="40"/>
                <w:szCs w:val="40"/>
              </w:rPr>
              <w:t xml:space="preserve">7</w:t>
            </w:r>
          </w:p>
        </w:tc>
        <w:tc>
          <w:tcPr>
            <w:tcW w:type="dxa" w:w="2410"/>
            <w:tcBorders>
              <w:top w:val="single" w:color="D3DAE3" w:sz="4"/>
              <w:left w:val="single" w:color="D3DAE3" w:sz="4"/>
              <w:bottom w:val="single" w:color="D3DAE3" w:sz="4"/>
              <w:right w:val="single" w:color="D3DAE3" w:sz="4"/>
            </w:tcBorders>
            <w:shd w:fill="E8F3F4" w:color="auto" w:val="clear"/>
            <w:tcMar>
              <w:top w:type="dxa" w:w="60"/>
              <w:left w:type="dxa" w:w="90"/>
              <w:bottom w:type="dxa" w:w="60"/>
              <w:right w:type="dxa" w:w="90"/>
            </w:tcMar>
          </w:tcPr>
          <w:p>
            <w:pPr>
              <w:spacing w:after="0" w:before="40"/>
            </w:pPr>
            <w:r>
              <w:rPr>
                <w:rFonts w:ascii="Arial" w:cs="Arial" w:eastAsia="Arial" w:hAnsi="Arial"/>
                <w:b/>
                <w:bCs/>
                <w:color w:val="0B6E78"/>
                <w:sz w:val="40"/>
                <w:szCs w:val="40"/>
              </w:rPr>
              <w:t xml:space="preserve">3</w:t>
            </w:r>
          </w:p>
        </w:tc>
        <w:tc>
          <w:tcPr>
            <w:tcW w:type="dxa" w:w="2410"/>
            <w:tcBorders>
              <w:top w:val="single" w:color="D3DAE3" w:sz="4"/>
              <w:left w:val="single" w:color="D3DAE3" w:sz="4"/>
              <w:bottom w:val="single" w:color="D3DAE3" w:sz="4"/>
              <w:right w:val="single" w:color="D3DAE3" w:sz="4"/>
            </w:tcBorders>
            <w:shd w:fill="E8F3F4" w:color="auto" w:val="clear"/>
            <w:tcMar>
              <w:top w:type="dxa" w:w="60"/>
              <w:left w:type="dxa" w:w="90"/>
              <w:bottom w:type="dxa" w:w="60"/>
              <w:right w:type="dxa" w:w="90"/>
            </w:tcMar>
          </w:tcPr>
          <w:p>
            <w:pPr>
              <w:spacing w:after="0" w:before="40"/>
            </w:pPr>
            <w:r>
              <w:rPr>
                <w:rFonts w:ascii="Arial" w:cs="Arial" w:eastAsia="Arial" w:hAnsi="Arial"/>
                <w:b/>
                <w:bCs/>
                <w:color w:val="0B6E78"/>
                <w:sz w:val="40"/>
                <w:szCs w:val="40"/>
              </w:rPr>
              <w:t xml:space="preserve">5 días</w:t>
            </w:r>
          </w:p>
        </w:tc>
      </w:tr>
      <w:tr>
        <w:trPr>
          <w:cantSplit/>
          <w:tblHeader w:val="false"/>
        </w:trPr>
        <w:tc>
          <w:tcPr>
            <w:tcW w:type="dxa" w:w="240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entregables sugeridos para pedir a la gestión saliente</w:t>
            </w:r>
          </w:p>
        </w:tc>
        <w:tc>
          <w:tcPr>
            <w:tcW w:type="dxa" w:w="240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categorías: de lo institucional a los sistemas</w:t>
            </w:r>
          </w:p>
        </w:tc>
        <w:tc>
          <w:tcPr>
            <w:tcW w:type="dxa" w:w="241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niveles de verificación de bienes</w:t>
            </w:r>
          </w:p>
        </w:tc>
        <w:tc>
          <w:tcPr>
            <w:tcW w:type="dxa" w:w="241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hábiles después de la proclamación para instalar la Comisión</w:t>
            </w:r>
          </w:p>
        </w:tc>
      </w:tr>
    </w:tbl>
    <w:p>
      <w:pPr>
        <w:spacing w:after="240"/>
      </w:pPr>
    </w:p>
    <w:p>
      <w:pPr>
        <w:spacing w:after="100" w:line="264"/>
        <w:jc w:val="both"/>
      </w:pPr>
      <w:r>
        <w:rPr>
          <w:rFonts w:ascii="Arial" w:cs="Arial" w:eastAsia="Arial" w:hAnsi="Arial"/>
          <w:b/>
          <w:bCs/>
          <w:sz w:val="20"/>
          <w:szCs w:val="20"/>
        </w:rPr>
        <w:t xml:space="preserve">Elaborado por: </w:t>
      </w:r>
      <w:r>
        <w:rPr>
          <w:rFonts w:ascii="Arial" w:cs="Arial" w:eastAsia="Arial" w:hAnsi="Arial"/>
          <w:sz w:val="20"/>
          <w:szCs w:val="20"/>
        </w:rPr>
        <w:t xml:space="preserve">Ing. Santos Jaimes Serkovic, creador de NÚCLEO · Gestión Pública con Inteligencia Artificial.</w:t>
      </w:r>
    </w:p>
    <w:p>
      <w:pPr>
        <w:spacing w:after="100" w:line="264"/>
        <w:jc w:val="both"/>
      </w:pPr>
      <w:r>
        <w:rPr>
          <w:rFonts w:ascii="Arial" w:cs="Arial" w:eastAsia="Arial" w:hAnsi="Arial"/>
          <w:b/>
          <w:bCs/>
          <w:sz w:val="20"/>
          <w:szCs w:val="20"/>
        </w:rPr>
        <w:t xml:space="preserve">Distribución: </w:t>
      </w:r>
      <w:r>
        <w:rPr>
          <w:rFonts w:ascii="Arial" w:cs="Arial" w:eastAsia="Arial" w:hAnsi="Arial"/>
          <w:sz w:val="20"/>
          <w:szCs w:val="20"/>
        </w:rPr>
        <w:t xml:space="preserve">gratuita para gobernadores, vicegobernadores, consejeros regionales, alcaldes y regidores electos en las Elecciones Regionales y Municipales del 4 de octubre de 2026, y para sus equipos de transferencia.</w:t>
      </w:r>
    </w:p>
    <w:p>
      <w:pPr>
        <w:spacing w:after="100" w:line="264"/>
        <w:jc w:val="both"/>
      </w:pPr>
      <w:r>
        <w:rPr>
          <w:rFonts w:ascii="Arial" w:cs="Arial" w:eastAsia="Arial" w:hAnsi="Arial"/>
          <w:b/>
          <w:bCs/>
          <w:sz w:val="20"/>
          <w:szCs w:val="20"/>
        </w:rPr>
        <w:t xml:space="preserve">Contacto: </w:t>
      </w:r>
      <w:r>
        <w:rPr>
          <w:rFonts w:ascii="Arial" w:cs="Arial" w:eastAsia="Arial" w:hAnsi="Arial"/>
          <w:sz w:val="20"/>
          <w:szCs w:val="20"/>
        </w:rPr>
        <w:t xml:space="preserve">nucleo@miespaciodigital.net · nucleo.miespaciodigital.net</w:t>
      </w:r>
    </w:p>
    <w:p>
      <w:pPr>
        <w:spacing w:after="120"/>
      </w:pP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none" w:color="FFFFFF" w:sz="0"/>
              <w:left w:val="single" w:color="A87C2E" w:sz="24"/>
              <w:bottom w:val="none" w:color="FFFFFF" w:sz="0"/>
              <w:right w:val="none" w:color="FFFFFF" w:sz="0"/>
            </w:tcBorders>
            <w:shd w:fill="FBF1E2" w:color="auto" w:val="clear"/>
            <w:tcMar>
              <w:top w:type="dxa" w:w="120"/>
              <w:left w:type="dxa" w:w="200"/>
              <w:bottom w:type="dxa" w:w="120"/>
              <w:right w:type="dxa" w:w="200"/>
            </w:tcMar>
          </w:tcPr>
          <w:p>
            <w:pPr>
              <w:spacing w:after="60"/>
            </w:pPr>
            <w:r>
              <w:rPr>
                <w:rFonts w:ascii="Arial" w:cs="Arial" w:eastAsia="Arial" w:hAnsi="Arial"/>
                <w:b/>
                <w:bCs/>
                <w:color w:val="A87C2E"/>
                <w:sz w:val="20"/>
                <w:szCs w:val="20"/>
              </w:rPr>
              <w:t xml:space="preserve">Antes de empezar</w:t>
            </w:r>
          </w:p>
          <w:p>
            <w:pPr>
              <w:spacing w:after="40" w:line="252"/>
            </w:pPr>
            <w:r>
              <w:rPr>
                <w:rFonts w:ascii="Arial" w:cs="Arial" w:eastAsia="Arial" w:hAnsi="Arial"/>
                <w:sz w:val="20"/>
                <w:szCs w:val="20"/>
              </w:rPr>
              <w:t xml:space="preserve">Esta guía es material de orientación. No reemplaza a la Ley N.° 30204, a su modificatoria la Ley N.° 31771 ni a las directivas de la Contraloría General de la República. Confirme siempre la versión vigente de cada norma y las fechas que fije la Contraloría para 2026.</w:t>
            </w:r>
          </w:p>
          <w:p>
            <w:pPr>
              <w:spacing w:after="40" w:line="252"/>
            </w:pPr>
            <w:r>
              <w:rPr>
                <w:rFonts w:ascii="Arial" w:cs="Arial" w:eastAsia="Arial" w:hAnsi="Arial"/>
                <w:sz w:val="20"/>
                <w:szCs w:val="20"/>
              </w:rPr>
              <w:t xml:space="preserve">La lista de 46 entregables es una propuesta de trabajo para la Comisión. Complementa, y no sustituye, el Informe de Rendición de Cuentas y Transferencia que la gestión saliente registra en el aplicativo oficial.</w:t>
            </w:r>
          </w:p>
        </w:tc>
      </w:tr>
    </w:tbl>
    <w:p>
      <w:r>
        <w:br w:type="page"/>
      </w:r>
    </w:p>
    <w:p>
      <w:pPr>
        <w:pStyle w:val="Heading1"/>
        <w:keepNext/>
        <w:pBdr>
          <w:bottom w:val="single" w:color="A87C2E" w:sz="8" w:space="3"/>
        </w:pBdr>
        <w:spacing w:after="120" w:before="320"/>
      </w:pPr>
      <w:r>
        <w:rPr>
          <w:rFonts w:ascii="Arial" w:cs="Arial" w:eastAsia="Arial" w:hAnsi="Arial"/>
          <w:b/>
          <w:bCs/>
          <w:color w:val="A87C2E"/>
          <w:sz w:val="26"/>
          <w:szCs w:val="26"/>
        </w:rPr>
        <w:t xml:space="preserve"/>
      </w:r>
      <w:r>
        <w:rPr>
          <w:rFonts w:ascii="Arial" w:cs="Arial" w:eastAsia="Arial" w:hAnsi="Arial"/>
          <w:b/>
          <w:bCs/>
          <w:color w:val="15233A"/>
          <w:sz w:val="26"/>
          <w:szCs w:val="26"/>
        </w:rPr>
        <w:t xml:space="preserve">Contenido</w:t>
      </w:r>
    </w:p>
    <w:p>
      <w:pPr>
        <w:spacing w:after="60"/>
      </w:pPr>
      <w:r>
        <w:rPr>
          <w:rFonts w:ascii="Arial" w:cs="Arial" w:eastAsia="Arial" w:hAnsi="Arial"/>
          <w:sz w:val="20"/>
          <w:szCs w:val="20"/>
        </w:rPr>
        <w:t xml:space="preserve">I. Base legal, calendario y equivalencias para gobiernos regionales</w:t>
      </w:r>
    </w:p>
    <w:p>
      <w:pPr>
        <w:spacing w:after="60"/>
      </w:pPr>
      <w:r>
        <w:rPr>
          <w:rFonts w:ascii="Arial" w:cs="Arial" w:eastAsia="Arial" w:hAnsi="Arial"/>
          <w:sz w:val="20"/>
          <w:szCs w:val="20"/>
        </w:rPr>
        <w:t xml:space="preserve">II. Todo en digital: la Base de Datos Maestra</w:t>
      </w:r>
    </w:p>
    <w:p>
      <w:pPr>
        <w:spacing w:after="60"/>
      </w:pPr>
      <w:r>
        <w:rPr>
          <w:rFonts w:ascii="Arial" w:cs="Arial" w:eastAsia="Arial" w:hAnsi="Arial"/>
          <w:sz w:val="20"/>
          <w:szCs w:val="20"/>
        </w:rPr>
        <w:t xml:space="preserve">III. Los 46 entregables, por categoría</w:t>
      </w:r>
    </w:p>
    <w:p>
      <w:pPr>
        <w:spacing w:after="60"/>
      </w:pPr>
      <w:r>
        <w:rPr>
          <w:rFonts w:ascii="Arial" w:cs="Arial" w:eastAsia="Arial" w:hAnsi="Arial"/>
          <w:sz w:val="20"/>
          <w:szCs w:val="20"/>
        </w:rPr>
        <w:t xml:space="preserve">IV. Protocolo de Verificación Triple de bienes e inmuebles</w:t>
      </w:r>
    </w:p>
    <w:p>
      <w:pPr>
        <w:spacing w:after="60"/>
      </w:pPr>
      <w:r>
        <w:rPr>
          <w:rFonts w:ascii="Arial" w:cs="Arial" w:eastAsia="Arial" w:hAnsi="Arial"/>
          <w:sz w:val="20"/>
          <w:szCs w:val="20"/>
        </w:rPr>
        <w:t xml:space="preserve">V. Cruces de verificación con información pública</w:t>
      </w:r>
    </w:p>
    <w:p>
      <w:pPr>
        <w:spacing w:after="60"/>
      </w:pPr>
      <w:r>
        <w:rPr>
          <w:rFonts w:ascii="Arial" w:cs="Arial" w:eastAsia="Arial" w:hAnsi="Arial"/>
          <w:sz w:val="20"/>
          <w:szCs w:val="20"/>
        </w:rPr>
        <w:t xml:space="preserve">VI. Fases de la transferencia, paso a paso</w:t>
      </w:r>
    </w:p>
    <w:p>
      <w:pPr>
        <w:spacing w:after="60"/>
      </w:pPr>
      <w:r>
        <w:rPr>
          <w:rFonts w:ascii="Arial" w:cs="Arial" w:eastAsia="Arial" w:hAnsi="Arial"/>
          <w:sz w:val="20"/>
          <w:szCs w:val="20"/>
        </w:rPr>
        <w:t xml:space="preserve">VII. Anexos sugeridos para el Acta</w:t>
      </w:r>
    </w:p>
    <w:p>
      <w:pPr>
        <w:spacing w:after="60"/>
      </w:pPr>
      <w:r>
        <w:rPr>
          <w:rFonts w:ascii="Arial" w:cs="Arial" w:eastAsia="Arial" w:hAnsi="Arial"/>
          <w:sz w:val="20"/>
          <w:szCs w:val="20"/>
        </w:rPr>
        <w:t xml:space="preserve">VIII. Del 1 de enero en adelante: gestionar con lo recibido</w:t>
      </w:r>
    </w:p>
    <w:p>
      <w:pPr>
        <w:spacing w:after="60"/>
      </w:pPr>
      <w:r>
        <w:rPr>
          <w:rFonts w:ascii="Arial" w:cs="Arial" w:eastAsia="Arial" w:hAnsi="Arial"/>
          <w:sz w:val="20"/>
          <w:szCs w:val="20"/>
        </w:rPr>
        <w:t xml:space="preserve">Documentos que acompañan esta guía</w:t>
      </w:r>
    </w:p>
    <w:p>
      <w:pPr>
        <w:pStyle w:val="Heading1"/>
        <w:keepNext/>
        <w:pBdr>
          <w:bottom w:val="single" w:color="A87C2E" w:sz="8" w:space="3"/>
        </w:pBdr>
        <w:spacing w:after="120" w:before="320"/>
      </w:pPr>
      <w:r>
        <w:rPr>
          <w:rFonts w:ascii="Arial" w:cs="Arial" w:eastAsia="Arial" w:hAnsi="Arial"/>
          <w:b/>
          <w:bCs/>
          <w:color w:val="A87C2E"/>
          <w:sz w:val="26"/>
          <w:szCs w:val="26"/>
        </w:rPr>
        <w:t xml:space="preserve">I.  </w:t>
      </w:r>
      <w:r>
        <w:rPr>
          <w:rFonts w:ascii="Arial" w:cs="Arial" w:eastAsia="Arial" w:hAnsi="Arial"/>
          <w:b/>
          <w:bCs/>
          <w:color w:val="15233A"/>
          <w:sz w:val="26"/>
          <w:szCs w:val="26"/>
        </w:rPr>
        <w:t xml:space="preserve">Base legal y calendario 2026–2027</w:t>
      </w:r>
    </w:p>
    <w:p>
      <w:pPr>
        <w:pStyle w:val="Heading2"/>
        <w:keepNext/>
        <w:spacing w:after="80" w:before="200"/>
      </w:pPr>
      <w:r>
        <w:rPr>
          <w:rFonts w:ascii="Arial" w:cs="Arial" w:eastAsia="Arial" w:hAnsi="Arial"/>
          <w:b/>
          <w:bCs/>
          <w:color w:val="0B6E78"/>
          <w:sz w:val="22"/>
          <w:szCs w:val="22"/>
        </w:rPr>
        <w:t xml:space="preserve">1.1 Normas que rigen la transferencia</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3600"/>
        <w:gridCol w:w="6038"/>
      </w:tblGrid>
      <w:tr>
        <w:trPr>
          <w:cantSplit/>
          <w:tblHeader/>
        </w:trPr>
        <w:tc>
          <w:tcPr>
            <w:tcW w:type="dxa" w:w="36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Norma</w:t>
            </w:r>
          </w:p>
        </w:tc>
        <w:tc>
          <w:tcPr>
            <w:tcW w:type="dxa" w:w="60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Lo que establece para la transferencia</w:t>
            </w:r>
          </w:p>
        </w:tc>
      </w:tr>
      <w:tr>
        <w:trPr>
          <w:cantSplit/>
          <w:tblHeader w:val="false"/>
        </w:trPr>
        <w:tc>
          <w:tcPr>
            <w:tcW w:type="dxa" w:w="3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Ley N.° 30204, Ley que regula la transferencia de la gestión administrativa de gobiernos regionales y gobiernos locales</w:t>
            </w:r>
          </w:p>
        </w:tc>
        <w:tc>
          <w:tcPr>
            <w:tcW w:type="dxa" w:w="6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El proceso es obligatorio. Alcanza tanto a la autoridad que cesa como a la autoridad electa, y a los miembros de la Comisión, bajo responsabilidad.</w:t>
            </w:r>
          </w:p>
        </w:tc>
      </w:tr>
      <w:tr>
        <w:trPr>
          <w:cantSplit/>
          <w:tblHeader w:val="false"/>
        </w:trPr>
        <w:tc>
          <w:tcPr>
            <w:tcW w:type="dxa" w:w="3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Ley N.° 31771 (publicada el 7 de junio de 2023), que modifica la Ley N.° 30204</w:t>
            </w:r>
          </w:p>
        </w:tc>
        <w:tc>
          <w:tcPr>
            <w:tcW w:type="dxa" w:w="6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La autoridad en ejercicio convoca a la electa dentro de los 5 días hábiles siguientes a la proclamación. La Comisión culmina con la firma del acta de transferencia, a más tardar al quinto día hábil de la nueva gestión. Al acta se anexa el último Informe de Rendición de Cuentas y Transferencia.</w:t>
            </w:r>
          </w:p>
        </w:tc>
      </w:tr>
      <w:tr>
        <w:trPr>
          <w:cantSplit/>
          <w:tblHeader w:val="false"/>
        </w:trPr>
        <w:tc>
          <w:tcPr>
            <w:tcW w:type="dxa" w:w="3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Composición de la Comisión (Ley N.° 30204, art. 5, modificado)</w:t>
            </w:r>
          </w:p>
        </w:tc>
        <w:tc>
          <w:tcPr>
            <w:tcW w:type="dxa" w:w="6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La preside la autoridad en ejercicio (gobernador regional o alcalde). La integran la autoridad electa, dos representantes de la autoridad en ejercicio (uno es el gerente general regional o el gerente municipal) y dos representantes de la autoridad electa. Por acuerdo se puede ampliar.</w:t>
            </w:r>
          </w:p>
        </w:tc>
      </w:tr>
      <w:tr>
        <w:trPr>
          <w:cantSplit/>
          <w:tblHeader w:val="false"/>
        </w:trPr>
        <w:tc>
          <w:tcPr>
            <w:tcW w:type="dxa" w:w="3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Directiva N.° 016-2022-CG/PREVI de la Contraloría, modificada por la Resolución N.° 344-2026-CG (julio de 2026)</w:t>
            </w:r>
          </w:p>
        </w:tc>
        <w:tc>
          <w:tcPr>
            <w:tcW w:type="dxa" w:w="6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Regula la rendición de cuentas de titulares y la transferencia de gestión. La gestión saliente debía instalar, hasta el 31 de julio de 2026, un Equipo de Transferencia del Titular Saliente (ETTS) de al menos tres servidores, coordinado por el gerente general regional o el gerente municipal. El ETTS prepara la información y la registra en el aplicativo RC-TG de la Contraloría. Al instalarse la Comisión, pregunte si el ETTS existe y pida su acta de instalación.</w:t>
            </w:r>
          </w:p>
        </w:tc>
      </w:tr>
      <w:tr>
        <w:trPr>
          <w:cantSplit/>
          <w:tblHeader w:val="false"/>
        </w:trPr>
        <w:tc>
          <w:tcPr>
            <w:tcW w:type="dxa" w:w="3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Ley N.° 27867, Ley Orgánica de Gobiernos Regionales, y Ley N.° 27972, Ley Orgánica de Municipalidades</w:t>
            </w:r>
          </w:p>
        </w:tc>
        <w:tc>
          <w:tcPr>
            <w:tcW w:type="dxa" w:w="6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Marco general de organización, competencias y funciones de cada nivel de gobierno.</w:t>
            </w:r>
          </w:p>
        </w:tc>
      </w:tr>
    </w:tbl>
    <w:p>
      <w:pPr>
        <w:spacing w:after="120"/>
      </w:pPr>
    </w:p>
    <w:p>
      <w:pPr>
        <w:pStyle w:val="Heading2"/>
        <w:keepNext/>
        <w:spacing w:after="80" w:before="200"/>
      </w:pPr>
      <w:r>
        <w:rPr>
          <w:rFonts w:ascii="Arial" w:cs="Arial" w:eastAsia="Arial" w:hAnsi="Arial"/>
          <w:b/>
          <w:bCs/>
          <w:color w:val="0B6E78"/>
          <w:sz w:val="22"/>
          <w:szCs w:val="22"/>
        </w:rPr>
        <w:t xml:space="preserve">1.2 Calendario de referencia</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3200"/>
        <w:gridCol w:w="6438"/>
      </w:tblGrid>
      <w:tr>
        <w:trPr>
          <w:cantSplit/>
          <w:tblHeader/>
        </w:trPr>
        <w:tc>
          <w:tcPr>
            <w:tcW w:type="dxa" w:w="32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Fecha</w:t>
            </w:r>
          </w:p>
        </w:tc>
        <w:tc>
          <w:tcPr>
            <w:tcW w:type="dxa" w:w="64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Hito</w:t>
            </w:r>
          </w:p>
        </w:tc>
      </w:tr>
      <w:tr>
        <w:trPr>
          <w:cantSplit/>
          <w:tblHeader w:val="false"/>
        </w:trPr>
        <w:tc>
          <w:tcPr>
            <w:tcW w:type="dxa" w:w="32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4 de octubre de 2026</w:t>
            </w:r>
          </w:p>
        </w:tc>
        <w:tc>
          <w:tcPr>
            <w:tcW w:type="dxa" w:w="64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Elecciones Regionales y Municipales.</w:t>
            </w:r>
          </w:p>
        </w:tc>
      </w:tr>
      <w:tr>
        <w:trPr>
          <w:cantSplit/>
          <w:tblHeader w:val="false"/>
        </w:trPr>
        <w:tc>
          <w:tcPr>
            <w:tcW w:type="dxa" w:w="32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Octubre y noviembre</w:t>
            </w:r>
          </w:p>
        </w:tc>
        <w:tc>
          <w:tcPr>
            <w:tcW w:type="dxa" w:w="64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Cada Jurado Electoral Especial proclama los resultados y entrega credenciales. Las fechas varían por distrito y provincia.</w:t>
            </w:r>
          </w:p>
        </w:tc>
      </w:tr>
      <w:tr>
        <w:trPr>
          <w:cantSplit/>
          <w:tblHeader w:val="false"/>
        </w:trPr>
        <w:tc>
          <w:tcPr>
            <w:tcW w:type="dxa" w:w="32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Hasta 5 días hábiles después de la proclamación</w:t>
            </w:r>
          </w:p>
        </w:tc>
        <w:tc>
          <w:tcPr>
            <w:tcW w:type="dxa" w:w="64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La autoridad en ejercicio convoca a la electa e instala la Comisión de Transferencia.</w:t>
            </w:r>
          </w:p>
        </w:tc>
      </w:tr>
      <w:tr>
        <w:trPr>
          <w:cantSplit/>
          <w:tblHeader w:val="false"/>
        </w:trPr>
        <w:tc>
          <w:tcPr>
            <w:tcW w:type="dxa" w:w="32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Fecha de corte que fije la Contraloría</w:t>
            </w:r>
          </w:p>
        </w:tc>
        <w:tc>
          <w:tcPr>
            <w:tcW w:type="dxa" w:w="64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Información que la gestión saliente incluye en su Informe de Rendición de Cuentas y Transferencia.</w:t>
            </w:r>
          </w:p>
        </w:tc>
      </w:tr>
      <w:tr>
        <w:trPr>
          <w:cantSplit/>
          <w:tblHeader w:val="false"/>
        </w:trPr>
        <w:tc>
          <w:tcPr>
            <w:tcW w:type="dxa" w:w="32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1 de enero de 2027</w:t>
            </w:r>
          </w:p>
        </w:tc>
        <w:tc>
          <w:tcPr>
            <w:tcW w:type="dxa" w:w="64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Asumen las nuevas autoridades para el período 2027–2030.</w:t>
            </w:r>
          </w:p>
        </w:tc>
      </w:tr>
      <w:tr>
        <w:trPr>
          <w:cantSplit/>
          <w:tblHeader w:val="false"/>
        </w:trPr>
        <w:tc>
          <w:tcPr>
            <w:tcW w:type="dxa" w:w="32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8 de enero de 2027</w:t>
            </w:r>
          </w:p>
        </w:tc>
        <w:tc>
          <w:tcPr>
            <w:tcW w:type="dxa" w:w="64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Quinto día hábil de la nueva gestión: plazo máximo para firmar el acta de transferencia.</w:t>
            </w:r>
          </w:p>
        </w:tc>
      </w:tr>
    </w:tbl>
    <w:p>
      <w:pPr>
        <w:spacing w:after="100" w:line="264"/>
        <w:jc w:val="both"/>
      </w:pPr>
      <w:r>
        <w:rPr>
          <w:rFonts w:ascii="Arial" w:cs="Arial" w:eastAsia="Arial" w:hAnsi="Arial"/>
          <w:i/>
          <w:iCs/>
          <w:color w:val="55657C"/>
          <w:sz w:val="18"/>
          <w:szCs w:val="18"/>
        </w:rPr>
        <w:t xml:space="preserve">El 1 de enero de 2027 es feriado. Por eso el quinto día hábil cae el viernes 8 de enero. Verifique las fechas de corte y de registro en el aplicativo que publique la Contraloría para 2026.</w:t>
      </w:r>
    </w:p>
    <w:p>
      <w:pPr>
        <w:pStyle w:val="Heading2"/>
        <w:keepNext/>
        <w:spacing w:after="80" w:before="200"/>
      </w:pPr>
      <w:r>
        <w:rPr>
          <w:rFonts w:ascii="Arial" w:cs="Arial" w:eastAsia="Arial" w:hAnsi="Arial"/>
          <w:b/>
          <w:bCs/>
          <w:color w:val="0B6E78"/>
          <w:sz w:val="22"/>
          <w:szCs w:val="22"/>
        </w:rPr>
        <w:t xml:space="preserve">1.3 Si su entidad es un gobierno regional</w:t>
      </w:r>
    </w:p>
    <w:p>
      <w:pPr>
        <w:spacing w:after="100" w:line="264"/>
        <w:jc w:val="both"/>
      </w:pPr>
      <w:r>
        <w:rPr>
          <w:rFonts w:ascii="Arial" w:cs="Arial" w:eastAsia="Arial" w:hAnsi="Arial"/>
          <w:sz w:val="20"/>
          <w:szCs w:val="20"/>
        </w:rPr>
        <w:t xml:space="preserve">La Ley N.° 30204 rige igual para gobiernos regionales y municipalidades. Esta guía usa ejemplos municipales; en un gobierno regional, lea así las equivalencias:</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4819"/>
        <w:gridCol w:w="4819"/>
      </w:tblGrid>
      <w:tr>
        <w:trPr>
          <w:cantSplit/>
          <w:tblHeader/>
        </w:trPr>
        <w:tc>
          <w:tcPr>
            <w:tcW w:type="dxa" w:w="4819"/>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 una municipalidad</w:t>
            </w:r>
          </w:p>
        </w:tc>
        <w:tc>
          <w:tcPr>
            <w:tcW w:type="dxa" w:w="4819"/>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 un gobierno regional</w:t>
            </w:r>
          </w:p>
        </w:tc>
      </w:tr>
      <w:tr>
        <w:trPr>
          <w:cantSplit/>
          <w:tblHeader w:val="false"/>
        </w:trPr>
        <w:tc>
          <w:tcPr>
            <w:tcW w:type="dxa" w:w="4819"/>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Alcalde o alcaldesa</w:t>
            </w:r>
          </w:p>
        </w:tc>
        <w:tc>
          <w:tcPr>
            <w:tcW w:type="dxa" w:w="481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Gobernador o gobernadora regional</w:t>
            </w:r>
          </w:p>
        </w:tc>
      </w:tr>
      <w:tr>
        <w:trPr>
          <w:cantSplit/>
          <w:tblHeader w:val="false"/>
        </w:trPr>
        <w:tc>
          <w:tcPr>
            <w:tcW w:type="dxa" w:w="4819"/>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Teniente alcalde y regidores</w:t>
            </w:r>
          </w:p>
        </w:tc>
        <w:tc>
          <w:tcPr>
            <w:tcW w:type="dxa" w:w="481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Vicegobernador y consejeros regionales</w:t>
            </w:r>
          </w:p>
        </w:tc>
      </w:tr>
      <w:tr>
        <w:trPr>
          <w:cantSplit/>
          <w:tblHeader w:val="false"/>
        </w:trPr>
        <w:tc>
          <w:tcPr>
            <w:tcW w:type="dxa" w:w="4819"/>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Concejo municipal: ordenanzas y acuerdos de concejo</w:t>
            </w:r>
          </w:p>
        </w:tc>
        <w:tc>
          <w:tcPr>
            <w:tcW w:type="dxa" w:w="481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Consejo regional: ordenanzas y acuerdos de consejo regional</w:t>
            </w:r>
          </w:p>
        </w:tc>
      </w:tr>
      <w:tr>
        <w:trPr>
          <w:cantSplit/>
          <w:tblHeader w:val="false"/>
        </w:trPr>
        <w:tc>
          <w:tcPr>
            <w:tcW w:type="dxa" w:w="4819"/>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Gerente municipal</w:t>
            </w:r>
          </w:p>
        </w:tc>
        <w:tc>
          <w:tcPr>
            <w:tcW w:type="dxa" w:w="481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Gerente general regional</w:t>
            </w:r>
          </w:p>
        </w:tc>
      </w:tr>
      <w:tr>
        <w:trPr>
          <w:cantSplit/>
          <w:tblHeader w:val="false"/>
        </w:trPr>
        <w:tc>
          <w:tcPr>
            <w:tcW w:type="dxa" w:w="4819"/>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Gerencias municipales</w:t>
            </w:r>
          </w:p>
        </w:tc>
        <w:tc>
          <w:tcPr>
            <w:tcW w:type="dxa" w:w="481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Gerencias regionales, direcciones regionales sectoriales, proyectos especiales y unidades ejecutoras</w:t>
            </w:r>
          </w:p>
        </w:tc>
      </w:tr>
      <w:tr>
        <w:trPr>
          <w:cantSplit/>
          <w:tblHeader w:val="false"/>
        </w:trPr>
        <w:tc>
          <w:tcPr>
            <w:tcW w:type="dxa" w:w="4819"/>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Plan de Desarrollo Local Concertado</w:t>
            </w:r>
          </w:p>
        </w:tc>
        <w:tc>
          <w:tcPr>
            <w:tcW w:type="dxa" w:w="481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Plan de Desarrollo Regional Concertado</w:t>
            </w:r>
          </w:p>
        </w:tc>
      </w:tr>
    </w:tbl>
    <w:p>
      <w:pPr>
        <w:pStyle w:val="Heading1"/>
        <w:keepNext/>
        <w:pBdr>
          <w:bottom w:val="single" w:color="A87C2E" w:sz="8" w:space="3"/>
        </w:pBdr>
        <w:spacing w:after="120" w:before="320"/>
      </w:pPr>
      <w:r>
        <w:rPr>
          <w:rFonts w:ascii="Arial" w:cs="Arial" w:eastAsia="Arial" w:hAnsi="Arial"/>
          <w:b/>
          <w:bCs/>
          <w:color w:val="A87C2E"/>
          <w:sz w:val="26"/>
          <w:szCs w:val="26"/>
        </w:rPr>
        <w:t xml:space="preserve">II.  </w:t>
      </w:r>
      <w:r>
        <w:rPr>
          <w:rFonts w:ascii="Arial" w:cs="Arial" w:eastAsia="Arial" w:hAnsi="Arial"/>
          <w:b/>
          <w:bCs/>
          <w:color w:val="15233A"/>
          <w:sz w:val="26"/>
          <w:szCs w:val="26"/>
        </w:rPr>
        <w:t xml:space="preserve">Todo en digital: la Base de Datos Maestra</w:t>
      </w:r>
    </w:p>
    <w:p>
      <w:pPr>
        <w:spacing w:after="100" w:line="264"/>
        <w:jc w:val="both"/>
      </w:pPr>
      <w:r>
        <w:rPr>
          <w:rFonts w:ascii="Arial" w:cs="Arial" w:eastAsia="Arial" w:hAnsi="Arial"/>
          <w:sz w:val="20"/>
          <w:szCs w:val="20"/>
        </w:rPr>
        <w:t xml:space="preserve">La propuesta central de esta guía es simple: pedir que toda la información entregada por la gestión saliente llegue en formato digital (PDF con texto buscable y, cuando sean datos, también en Excel), con un nombre de archivo estándar. Con eso, la nueva gestión construye su Base de Datos Maestra, que sirve para tres cosas a la vez:</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3212"/>
        <w:gridCol w:w="3213"/>
        <w:gridCol w:w="3213"/>
      </w:tblGrid>
      <w:tr>
        <w:trPr>
          <w:cantSplit/>
          <w:tblHeader/>
        </w:trPr>
        <w:tc>
          <w:tcPr>
            <w:tcW w:type="dxa" w:w="3212"/>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Para verificar</w:t>
            </w:r>
          </w:p>
        </w:tc>
        <w:tc>
          <w:tcPr>
            <w:tcW w:type="dxa" w:w="3213"/>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Para planificar</w:t>
            </w:r>
          </w:p>
        </w:tc>
        <w:tc>
          <w:tcPr>
            <w:tcW w:type="dxa" w:w="3213"/>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Para gestionar con IA</w:t>
            </w:r>
          </w:p>
        </w:tc>
      </w:tr>
      <w:tr>
        <w:trPr>
          <w:cantSplit/>
          <w:tblHeader w:val="false"/>
        </w:trPr>
        <w:tc>
          <w:tcPr>
            <w:tcW w:type="dxa" w:w="3212"/>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Cotejar cada entregable con el SIAF, el SIGA, el SEACE, Infobras y SUNARP.</w:t>
            </w:r>
          </w:p>
        </w:tc>
        <w:tc>
          <w:tcPr>
            <w:tcW w:type="dxa" w:w="3213"/>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Formular el plan de los primeros 100 días con datos reales de obras, deudas, personal y bienes.</w:t>
            </w:r>
          </w:p>
        </w:tc>
        <w:tc>
          <w:tcPr>
            <w:tcW w:type="dxa" w:w="3213"/>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Cargar la información en una plataforma como NÚCLEO para seguir metas, alertas y procesos desde el primer día.</w:t>
            </w:r>
          </w:p>
        </w:tc>
      </w:tr>
    </w:tbl>
    <w:p>
      <w:pPr>
        <w:spacing w:after="120"/>
      </w:pPr>
    </w:p>
    <w:p>
      <w:pPr>
        <w:pStyle w:val="Heading2"/>
        <w:keepNext/>
        <w:spacing w:after="80" w:before="200"/>
      </w:pPr>
      <w:r>
        <w:rPr>
          <w:rFonts w:ascii="Arial" w:cs="Arial" w:eastAsia="Arial" w:hAnsi="Arial"/>
          <w:b/>
          <w:bCs/>
          <w:color w:val="0B6E78"/>
          <w:sz w:val="22"/>
          <w:szCs w:val="22"/>
        </w:rPr>
        <w:t xml:space="preserve">2.1 Nombre estándar de los archivos</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5000"/>
        <w:gridCol w:w="4638"/>
      </w:tblGrid>
      <w:tr>
        <w:trPr>
          <w:cantSplit/>
          <w:tblHeader/>
        </w:trPr>
        <w:tc>
          <w:tcPr>
            <w:tcW w:type="dxa" w:w="50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Estructura</w:t>
            </w:r>
          </w:p>
        </w:tc>
        <w:tc>
          <w:tcPr>
            <w:tcW w:type="dxa" w:w="46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Ejemplo</w:t>
            </w:r>
          </w:p>
        </w:tc>
      </w:tr>
      <w:tr>
        <w:trPr>
          <w:cantSplit/>
          <w:tblHeader w:val="false"/>
        </w:trPr>
        <w:tc>
          <w:tcPr>
            <w:tcW w:type="dxa" w:w="50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[ENTIDAD]_[CÓDIGO]_[DESCRIPCIÓN]_[AAAAMMDD].pdf</w:t>
            </w:r>
          </w:p>
        </w:tc>
        <w:tc>
          <w:tcPr>
            <w:tcW w:type="dxa" w:w="46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MPSM_B02_Ejecucion-Presupuestal_20261130.pdf</w:t>
            </w:r>
          </w:p>
        </w:tc>
      </w:tr>
      <w:tr>
        <w:trPr>
          <w:cantSplit/>
          <w:tblHeader w:val="false"/>
        </w:trPr>
        <w:tc>
          <w:tcPr>
            <w:tcW w:type="dxa" w:w="50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ENTIDAD: siglas cortas de la entidad</w:t>
            </w:r>
          </w:p>
        </w:tc>
        <w:tc>
          <w:tcPr>
            <w:tcW w:type="dxa" w:w="46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MPSM = Municipalidad Provincial de San Marcos</w:t>
            </w:r>
          </w:p>
        </w:tc>
      </w:tr>
      <w:tr>
        <w:trPr>
          <w:cantSplit/>
          <w:tblHeader w:val="false"/>
        </w:trPr>
        <w:tc>
          <w:tcPr>
            <w:tcW w:type="dxa" w:w="50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CÓDIGO: el del entregable (A-01 a G-06), sin guion</w:t>
            </w:r>
          </w:p>
        </w:tc>
        <w:tc>
          <w:tcPr>
            <w:tcW w:type="dxa" w:w="46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C02 = Inmuebles con partida registral</w:t>
            </w:r>
          </w:p>
        </w:tc>
      </w:tr>
    </w:tbl>
    <w:p>
      <w:r>
        <w:br w:type="page"/>
      </w:r>
    </w:p>
    <w:p>
      <w:pPr>
        <w:pStyle w:val="Heading1"/>
        <w:keepNext/>
        <w:pBdr>
          <w:bottom w:val="single" w:color="A87C2E" w:sz="8" w:space="3"/>
        </w:pBdr>
        <w:spacing w:after="120" w:before="320"/>
      </w:pPr>
      <w:r>
        <w:rPr>
          <w:rFonts w:ascii="Arial" w:cs="Arial" w:eastAsia="Arial" w:hAnsi="Arial"/>
          <w:b/>
          <w:bCs/>
          <w:color w:val="A87C2E"/>
          <w:sz w:val="26"/>
          <w:szCs w:val="26"/>
        </w:rPr>
        <w:t xml:space="preserve">III.  </w:t>
      </w:r>
      <w:r>
        <w:rPr>
          <w:rFonts w:ascii="Arial" w:cs="Arial" w:eastAsia="Arial" w:hAnsi="Arial"/>
          <w:b/>
          <w:bCs/>
          <w:color w:val="15233A"/>
          <w:sz w:val="26"/>
          <w:szCs w:val="26"/>
        </w:rPr>
        <w:t xml:space="preserve">Los 46 entregables, por categoría</w:t>
      </w:r>
    </w:p>
    <w:p>
      <w:pPr>
        <w:spacing w:after="100" w:line="264"/>
        <w:jc w:val="both"/>
      </w:pPr>
      <w:r>
        <w:rPr>
          <w:rFonts w:ascii="Arial" w:cs="Arial" w:eastAsia="Arial" w:hAnsi="Arial"/>
          <w:sz w:val="20"/>
          <w:szCs w:val="20"/>
        </w:rPr>
        <w:t xml:space="preserve">Estos son los entregables que recomendamos solicitar formalmente con el Oficio modelo que acompaña esta guía. Cada uno indica el formato pedido y dónde se puede verificar.</w:t>
      </w:r>
    </w:p>
    <w:p>
      <w:pPr>
        <w:pStyle w:val="Heading2"/>
        <w:keepNext/>
        <w:spacing w:after="80" w:before="200"/>
      </w:pPr>
      <w:r>
        <w:rPr>
          <w:rFonts w:ascii="Arial" w:cs="Arial" w:eastAsia="Arial" w:hAnsi="Arial"/>
          <w:b/>
          <w:bCs/>
          <w:color w:val="0B6E78"/>
          <w:sz w:val="22"/>
          <w:szCs w:val="22"/>
        </w:rPr>
        <w:t xml:space="preserve">A. Información institucional y de gestión (8)</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00"/>
        <w:gridCol w:w="4938"/>
        <w:gridCol w:w="1700"/>
        <w:gridCol w:w="2100"/>
      </w:tblGrid>
      <w:tr>
        <w:trPr>
          <w:cantSplit/>
          <w:tblHeader/>
        </w:trPr>
        <w:tc>
          <w:tcPr>
            <w:tcW w:type="dxa" w:w="9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Código</w:t>
            </w:r>
          </w:p>
        </w:tc>
        <w:tc>
          <w:tcPr>
            <w:tcW w:type="dxa" w:w="4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Entregable</w:t>
            </w:r>
          </w:p>
        </w:tc>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Formato</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Verificación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A-01</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Informe de rendición de cuentas y transferencia del titular saliente, registrado en el aplicativo de la Contraloría</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firmado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Aplicativo RC-TG de la Contraloría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A-02</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ROF, organigrama y Cuadro para Asignación de Personal (CAP o CAP Provisional) vigentes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Ordenanzas publicadas</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A-03</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Plan de Desarrollo Regional o Local Concertado, PEI y POI vigentes, con su última evaluación</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CEPLAN, aplicativo CEPLAN V.01</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A-04</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Resultados al cierre de la gestión: metas del POI frente a lo ejecutado e indicadores del PEI</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CEPLAN y Consulta Amigable del MEF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A-05</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Asuntos de atención prioritaria para la nueva gestión, incluidos conflictos sociales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Verificación directa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A-06</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TUPA y TUSNE vigentes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Plataforma gob.pe y portal institucional</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A-07</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Ordenanzas, acuerdos de consejo regional o de concejo municipal y decretos emitidos en el período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índice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Libro de actas y diario oficial</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A-08</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Recomendaciones del OCI y de la Contraloría pendientes de implementar</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OCI y Contraloría</w:t>
            </w:r>
          </w:p>
        </w:tc>
      </w:tr>
    </w:tbl>
    <w:p>
      <w:pPr>
        <w:pStyle w:val="Heading2"/>
        <w:keepNext/>
        <w:spacing w:after="80" w:before="200"/>
      </w:pPr>
      <w:r>
        <w:rPr>
          <w:rFonts w:ascii="Arial" w:cs="Arial" w:eastAsia="Arial" w:hAnsi="Arial"/>
          <w:b/>
          <w:bCs/>
          <w:color w:val="0B6E78"/>
          <w:sz w:val="22"/>
          <w:szCs w:val="22"/>
        </w:rPr>
        <w:t xml:space="preserve">B. Presupuesto, finanzas e ingresos (8)</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00"/>
        <w:gridCol w:w="4938"/>
        <w:gridCol w:w="1700"/>
        <w:gridCol w:w="2100"/>
      </w:tblGrid>
      <w:tr>
        <w:trPr>
          <w:cantSplit/>
          <w:tblHeader/>
        </w:trPr>
        <w:tc>
          <w:tcPr>
            <w:tcW w:type="dxa" w:w="9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Código</w:t>
            </w:r>
          </w:p>
        </w:tc>
        <w:tc>
          <w:tcPr>
            <w:tcW w:type="dxa" w:w="4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Entregable</w:t>
            </w:r>
          </w:p>
        </w:tc>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Formato</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Verificación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B-01</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Presupuesto Institucional de Apertura (PIA) y Modificado (PIM) 2026, por fuente de financiamiento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SIAF y Consulta Amigable del MEF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B-02</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Ejecución presupuestal a la fecha de corte, por genérica de gasto y meta</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certificado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SIAF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B-03</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Compromisos y devengados pendientes de pago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SIAF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B-04</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Transferencias recibidas (FONCOMUN, canon, programas e incentivos, convenios) y su ejecución</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SIAF y Consulta Amigable del MEF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B-05</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Estados financieros, saldos de cuentas bancarias y conciliaciones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firmado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Contabilidad y Tesorería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B-06</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Arqueo de caja chica y fondos fijos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firmado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Tesorería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B-07</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Deudas con proveedores, contratistas, SUNAT, EsSalud, AFP y por sentencias judiciales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SIAF, SEACE y Procuraduría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B-08</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Ingresos propios y cuentas por cobrar: en municipalidades, predial, arbitrios, licencias y multas; en gobiernos regionales, tasas y derechos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Sistema de rentas o de recaudación</w:t>
            </w:r>
          </w:p>
        </w:tc>
      </w:tr>
    </w:tbl>
    <w:p>
      <w:pPr>
        <w:pStyle w:val="Heading2"/>
        <w:keepNext/>
        <w:spacing w:after="80" w:before="200"/>
      </w:pPr>
      <w:r>
        <w:rPr>
          <w:rFonts w:ascii="Arial" w:cs="Arial" w:eastAsia="Arial" w:hAnsi="Arial"/>
          <w:b/>
          <w:bCs/>
          <w:color w:val="0B6E78"/>
          <w:sz w:val="22"/>
          <w:szCs w:val="22"/>
        </w:rPr>
        <w:t xml:space="preserve">C. Bienes, inmuebles y almacenes (7)</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00"/>
        <w:gridCol w:w="4938"/>
        <w:gridCol w:w="1700"/>
        <w:gridCol w:w="2100"/>
      </w:tblGrid>
      <w:tr>
        <w:trPr>
          <w:cantSplit/>
          <w:tblHeader/>
        </w:trPr>
        <w:tc>
          <w:tcPr>
            <w:tcW w:type="dxa" w:w="9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Código</w:t>
            </w:r>
          </w:p>
        </w:tc>
        <w:tc>
          <w:tcPr>
            <w:tcW w:type="dxa" w:w="4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Entregable</w:t>
            </w:r>
          </w:p>
        </w:tc>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Formato</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Verificación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C-01</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Inventario físico de bienes muebles con código, estado y ubicación</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SIGA y SBN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C-02</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Inmuebles con partida registral, saneamiento físico legal, área y uso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planos</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SUNARP y SBN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C-03</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Vehículos y maquinaria pesada: placa, año, estado, asignación y consumo de combustible</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fotos</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SUNARP y SIGA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C-04</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Equipos informáticos y de comunicaciones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SIGA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C-05</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Almacén: existencias de materiales e insumos, incluidos los de programas sociales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SIGA Logística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C-06</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Bienes faltantes, sobrantes o en proceso de baja</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SBN y OCI</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C-07</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Bienes cedidos, recibidos en comodato o arrendados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contratos</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Administración</w:t>
            </w:r>
          </w:p>
        </w:tc>
      </w:tr>
    </w:tbl>
    <w:p>
      <w:pPr>
        <w:pStyle w:val="Heading2"/>
        <w:keepNext/>
        <w:spacing w:after="80" w:before="200"/>
      </w:pPr>
      <w:r>
        <w:rPr>
          <w:rFonts w:ascii="Arial" w:cs="Arial" w:eastAsia="Arial" w:hAnsi="Arial"/>
          <w:b/>
          <w:bCs/>
          <w:color w:val="0B6E78"/>
          <w:sz w:val="22"/>
          <w:szCs w:val="22"/>
        </w:rPr>
        <w:t xml:space="preserve">D. Contratos, obras, inversiones y servicios (8)</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00"/>
        <w:gridCol w:w="4938"/>
        <w:gridCol w:w="1700"/>
        <w:gridCol w:w="2100"/>
      </w:tblGrid>
      <w:tr>
        <w:trPr>
          <w:cantSplit/>
          <w:tblHeader/>
        </w:trPr>
        <w:tc>
          <w:tcPr>
            <w:tcW w:type="dxa" w:w="9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Código</w:t>
            </w:r>
          </w:p>
        </w:tc>
        <w:tc>
          <w:tcPr>
            <w:tcW w:type="dxa" w:w="4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Entregable</w:t>
            </w:r>
          </w:p>
        </w:tc>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Formato</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Verificación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D-01</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Contratos de bienes y servicios vigentes con su estado de ejecución</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SEACE</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D-02</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Obras en ejecución con avance físico y financiero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cronograma</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SEACE e Infobras</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D-03</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Obras paralizadas, en arbitraje o con controversias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Infobras y Procuraduría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D-04</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Cartera de inversiones: Programa Multianual, inversiones viables y expedientes técnicos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Banco de Inversiones (Invierte.pe)</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D-05</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Convenios vigentes con otros niveles de gobierno, otras entidades y la cooperación</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Secretaría General</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D-06</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Procesos de selección en curso, desiertos o por convocar</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SEACE</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D-07</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Programas sociales y sus padrones: en municipalidades, Vaso de Leche, complementación alimentaria, DEMUNA, OMAPED y CIAM; en gobiernos regionales, los programas a su cargo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Padrones de beneficiarios</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D-08</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Servicios y unidades operativas: en municipalidades, limpieza pública, mercados, camal y agua; en gobiernos regionales, direcciones regionales sectoriales, proyectos especiales y unidades ejecutoras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Gerencias de línea</w:t>
            </w:r>
          </w:p>
        </w:tc>
      </w:tr>
    </w:tbl>
    <w:p>
      <w:pPr>
        <w:pStyle w:val="Heading2"/>
        <w:keepNext/>
        <w:spacing w:after="80" w:before="200"/>
      </w:pPr>
      <w:r>
        <w:rPr>
          <w:rFonts w:ascii="Arial" w:cs="Arial" w:eastAsia="Arial" w:hAnsi="Arial"/>
          <w:b/>
          <w:bCs/>
          <w:color w:val="0B6E78"/>
          <w:sz w:val="22"/>
          <w:szCs w:val="22"/>
        </w:rPr>
        <w:t xml:space="preserve">E. Personal (5)</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00"/>
        <w:gridCol w:w="4938"/>
        <w:gridCol w:w="1700"/>
        <w:gridCol w:w="2100"/>
      </w:tblGrid>
      <w:tr>
        <w:trPr>
          <w:cantSplit/>
          <w:tblHeader/>
        </w:trPr>
        <w:tc>
          <w:tcPr>
            <w:tcW w:type="dxa" w:w="9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Código</w:t>
            </w:r>
          </w:p>
        </w:tc>
        <w:tc>
          <w:tcPr>
            <w:tcW w:type="dxa" w:w="4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Entregable</w:t>
            </w:r>
          </w:p>
        </w:tc>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Formato</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Verificación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E-01</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Planilla por régimen laboral (D. L. 276, D. L. 728, CAS y Ley del Servicio Civil)</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AIRHSP del MEF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E-02</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Personal de confianza y directivo, con sus legajos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Recursos Humanos</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E-03</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Contratos CAS vigentes, fechas de vencimiento y contratos a plazo indeterminado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AIRHSP</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E-04</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Procedimientos administrativos disciplinarios en curso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Secretaría Técnica de PAD</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E-05</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Vacaciones pendientes, beneficios sociales adeudados y convenios colectivos vigentes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Recursos Humanos</w:t>
            </w:r>
          </w:p>
        </w:tc>
      </w:tr>
    </w:tbl>
    <w:p>
      <w:pPr>
        <w:pStyle w:val="Heading2"/>
        <w:keepNext/>
        <w:spacing w:after="80" w:before="200"/>
      </w:pPr>
      <w:r>
        <w:rPr>
          <w:rFonts w:ascii="Arial" w:cs="Arial" w:eastAsia="Arial" w:hAnsi="Arial"/>
          <w:b/>
          <w:bCs/>
          <w:color w:val="0B6E78"/>
          <w:sz w:val="22"/>
          <w:szCs w:val="22"/>
        </w:rPr>
        <w:t xml:space="preserve">F. Archivo y asuntos legales (4)</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00"/>
        <w:gridCol w:w="4938"/>
        <w:gridCol w:w="1700"/>
        <w:gridCol w:w="2100"/>
      </w:tblGrid>
      <w:tr>
        <w:trPr>
          <w:cantSplit/>
          <w:tblHeader/>
        </w:trPr>
        <w:tc>
          <w:tcPr>
            <w:tcW w:type="dxa" w:w="9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Código</w:t>
            </w:r>
          </w:p>
        </w:tc>
        <w:tc>
          <w:tcPr>
            <w:tcW w:type="dxa" w:w="4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Entregable</w:t>
            </w:r>
          </w:p>
        </w:tc>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Formato</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Verificación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F-01</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Inventario del archivo de gestión y del archivo central, por series documentales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Archivo General de la Nación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F-02</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Expedientes técnicos y liquidaciones de obras e inversiones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escaneado + original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Archivo y área de infraestructura</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F-03</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Libros de actas de sesiones del concejo municipal o del consejo regional</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Original + 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Secretaría General</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F-04</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Procesos judiciales, arbitrales y administrativos, con su riesgo económico estimado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 Excel</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Procuraduría Pública</w:t>
            </w:r>
          </w:p>
        </w:tc>
      </w:tr>
    </w:tbl>
    <w:p>
      <w:pPr>
        <w:pStyle w:val="Heading2"/>
        <w:keepNext/>
        <w:spacing w:after="80" w:before="200"/>
      </w:pPr>
      <w:r>
        <w:rPr>
          <w:rFonts w:ascii="Arial" w:cs="Arial" w:eastAsia="Arial" w:hAnsi="Arial"/>
          <w:b/>
          <w:bCs/>
          <w:color w:val="0B6E78"/>
          <w:sz w:val="22"/>
          <w:szCs w:val="22"/>
        </w:rPr>
        <w:t xml:space="preserve">G. Sistemas, accesos y tecnología (6)</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00"/>
        <w:gridCol w:w="4938"/>
        <w:gridCol w:w="1700"/>
        <w:gridCol w:w="2100"/>
      </w:tblGrid>
      <w:tr>
        <w:trPr>
          <w:cantSplit/>
          <w:tblHeader/>
        </w:trPr>
        <w:tc>
          <w:tcPr>
            <w:tcW w:type="dxa" w:w="9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Código</w:t>
            </w:r>
          </w:p>
        </w:tc>
        <w:tc>
          <w:tcPr>
            <w:tcW w:type="dxa" w:w="4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Entregable</w:t>
            </w:r>
          </w:p>
        </w:tc>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Formato</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Verificación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G-01</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Usuarios y perfiles activos en el SIAF</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firmado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MEF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G-02</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Usuarios y perfiles activos en el SIGA</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firmado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MEF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G-03</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Usuarios y certificados del SEACE</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firmado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SEACE</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G-04</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Usuarios del Banco de Inversiones (Invierte.pe)</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firmado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MEF</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G-05</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Administración del portal de transparencia, página en gob.pe, redes sociales, dominios y correos institucionales</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Oficina de Tecnologías de la Información</w:t>
            </w:r>
          </w:p>
        </w:tc>
      </w:tr>
      <w:tr>
        <w:trPr>
          <w:cantSplit/>
          <w:tblHeader w:val="false"/>
        </w:trPr>
        <w:tc>
          <w:tcPr>
            <w:tcW w:type="dxa" w:w="9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G-06</w:t>
            </w:r>
          </w:p>
        </w:tc>
        <w:tc>
          <w:tcPr>
            <w:tcW w:type="dxa" w:w="4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Infraestructura tecnológica: servidores, copias de respaldo, licencias, sistema de rentas y de trámite documentario</w:t>
            </w:r>
          </w:p>
        </w:tc>
        <w:tc>
          <w:tcPr>
            <w:tcW w:type="dxa" w:w="1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PDF técnico</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Oficina de Tecnologías de la Información</w:t>
            </w:r>
          </w:p>
        </w:tc>
      </w:tr>
    </w:tbl>
    <w:p>
      <w:pPr>
        <w:pStyle w:val="Heading1"/>
        <w:keepNext/>
        <w:pBdr>
          <w:bottom w:val="single" w:color="A87C2E" w:sz="8" w:space="3"/>
        </w:pBdr>
        <w:spacing w:after="120" w:before="320"/>
      </w:pPr>
      <w:r>
        <w:rPr>
          <w:rFonts w:ascii="Arial" w:cs="Arial" w:eastAsia="Arial" w:hAnsi="Arial"/>
          <w:b/>
          <w:bCs/>
          <w:color w:val="A87C2E"/>
          <w:sz w:val="26"/>
          <w:szCs w:val="26"/>
        </w:rPr>
        <w:t xml:space="preserve">IV.  </w:t>
      </w:r>
      <w:r>
        <w:rPr>
          <w:rFonts w:ascii="Arial" w:cs="Arial" w:eastAsia="Arial" w:hAnsi="Arial"/>
          <w:b/>
          <w:bCs/>
          <w:color w:val="15233A"/>
          <w:sz w:val="26"/>
          <w:szCs w:val="26"/>
        </w:rPr>
        <w:t xml:space="preserve">Protocolo de Verificación Triple de bienes e inmuebles</w:t>
      </w:r>
    </w:p>
    <w:p>
      <w:pPr>
        <w:spacing w:after="100" w:line="264"/>
        <w:jc w:val="both"/>
      </w:pPr>
      <w:r>
        <w:rPr>
          <w:rFonts w:ascii="Arial" w:cs="Arial" w:eastAsia="Arial" w:hAnsi="Arial"/>
          <w:sz w:val="20"/>
          <w:szCs w:val="20"/>
        </w:rPr>
        <w:t xml:space="preserve">En muchas transferencias los inventarios están desactualizados, hay bienes que no se encuentran, inmuebles sin saneamiento y vehículos asignados sin sustento. Por eso cada bien pasa por tres niveles de verificación:</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1700"/>
        <w:gridCol w:w="3638"/>
        <w:gridCol w:w="2200"/>
        <w:gridCol w:w="2100"/>
      </w:tblGrid>
      <w:tr>
        <w:trPr>
          <w:cantSplit/>
          <w:tblHeader/>
        </w:trPr>
        <w:tc>
          <w:tcPr>
            <w:tcW w:type="dxa" w:w="1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Nivel</w:t>
            </w:r>
          </w:p>
        </w:tc>
        <w:tc>
          <w:tcPr>
            <w:tcW w:type="dxa" w:w="36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Qué se verifica</w:t>
            </w:r>
          </w:p>
        </w:tc>
        <w:tc>
          <w:tcPr>
            <w:tcW w:type="dxa" w:w="22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Herramienta</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Responsable</w:t>
            </w:r>
          </w:p>
        </w:tc>
      </w:tr>
      <w:tr>
        <w:trPr>
          <w:cantSplit/>
          <w:tblHeader w:val="false"/>
        </w:trPr>
        <w:tc>
          <w:tcPr>
            <w:tcW w:type="dxa" w:w="17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1. Documental</w:t>
            </w:r>
          </w:p>
        </w:tc>
        <w:tc>
          <w:tcPr>
            <w:tcW w:type="dxa" w:w="36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Inventario declarado frente al SIGA y al registro de la SBN</w:t>
            </w:r>
          </w:p>
        </w:tc>
        <w:tc>
          <w:tcPr>
            <w:tcW w:type="dxa" w:w="22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Excel y PDF</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Equipo revisor</w:t>
            </w:r>
          </w:p>
        </w:tc>
      </w:tr>
      <w:tr>
        <w:trPr>
          <w:cantSplit/>
          <w:tblHeader w:val="false"/>
        </w:trPr>
        <w:tc>
          <w:tcPr>
            <w:tcW w:type="dxa" w:w="17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2. Físico</w:t>
            </w:r>
          </w:p>
        </w:tc>
        <w:tc>
          <w:tcPr>
            <w:tcW w:type="dxa" w:w="36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Constatación en el lugar, con fotos geolocalizadas</w:t>
            </w:r>
          </w:p>
        </w:tc>
        <w:tc>
          <w:tcPr>
            <w:tcW w:type="dxa" w:w="22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Formulario y celular</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Equipo de campo</w:t>
            </w:r>
          </w:p>
        </w:tc>
      </w:tr>
      <w:tr>
        <w:trPr>
          <w:cantSplit/>
          <w:tblHeader w:val="false"/>
        </w:trPr>
        <w:tc>
          <w:tcPr>
            <w:tcW w:type="dxa" w:w="17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3. Registral</w:t>
            </w:r>
          </w:p>
        </w:tc>
        <w:tc>
          <w:tcPr>
            <w:tcW w:type="dxa" w:w="36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Inmuebles y vehículos frente a SUNARP</w:t>
            </w:r>
          </w:p>
        </w:tc>
        <w:tc>
          <w:tcPr>
            <w:tcW w:type="dxa" w:w="22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Consulta en línea de SUNARP</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Asesor legal</w:t>
            </w:r>
          </w:p>
        </w:tc>
      </w:tr>
    </w:tbl>
    <w:p>
      <w:pPr>
        <w:spacing w:after="120"/>
      </w:pPr>
    </w:p>
    <w:p>
      <w:pPr>
        <w:pStyle w:val="Heading2"/>
        <w:keepNext/>
        <w:spacing w:after="80" w:before="200"/>
      </w:pPr>
      <w:r>
        <w:rPr>
          <w:rFonts w:ascii="Arial" w:cs="Arial" w:eastAsia="Arial" w:hAnsi="Arial"/>
          <w:b/>
          <w:bCs/>
          <w:color w:val="0B6E78"/>
          <w:sz w:val="22"/>
          <w:szCs w:val="22"/>
        </w:rPr>
        <w:t xml:space="preserve">4.1 Semáforo de resultados</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1500"/>
        <w:gridCol w:w="4069"/>
        <w:gridCol w:w="4069"/>
      </w:tblGrid>
      <w:tr>
        <w:trPr>
          <w:cantSplit/>
          <w:tblHeader/>
        </w:trPr>
        <w:tc>
          <w:tcPr>
            <w:tcW w:type="dxa" w:w="15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Color</w:t>
            </w:r>
          </w:p>
        </w:tc>
        <w:tc>
          <w:tcPr>
            <w:tcW w:type="dxa" w:w="4069"/>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Situación del bien</w:t>
            </w:r>
          </w:p>
        </w:tc>
        <w:tc>
          <w:tcPr>
            <w:tcW w:type="dxa" w:w="4069"/>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Acción sugerida</w:t>
            </w:r>
          </w:p>
        </w:tc>
      </w:tr>
      <w:tr>
        <w:trPr>
          <w:cantSplit/>
          <w:tblHeader w:val="false"/>
        </w:trPr>
        <w:tc>
          <w:tcPr>
            <w:tcW w:type="dxa" w:w="1500"/>
            <w:tcBorders>
              <w:top w:val="single" w:color="D3DAE3" w:sz="4"/>
              <w:left w:val="single" w:color="D3DAE3" w:sz="4"/>
              <w:bottom w:val="single" w:color="D3DAE3" w:sz="4"/>
              <w:right w:val="single" w:color="D3DAE3" w:sz="4"/>
            </w:tcBorders>
            <w:shd w:fill="D7F0E0" w:color="auto" w:val="clear"/>
            <w:tcMar>
              <w:top w:type="dxa" w:w="60"/>
              <w:left w:type="dxa" w:w="90"/>
              <w:bottom w:type="dxa" w:w="60"/>
              <w:right w:type="dxa" w:w="90"/>
            </w:tcMar>
          </w:tcPr>
          <w:p>
            <w:pPr>
              <w:spacing w:after="0" w:line="240"/>
            </w:pPr>
            <w:r>
              <w:rPr>
                <w:rFonts w:ascii="Arial" w:cs="Arial" w:eastAsia="Arial" w:hAnsi="Arial"/>
                <w:sz w:val="17"/>
                <w:szCs w:val="17"/>
              </w:rPr>
              <w:t xml:space="preserve">VERDE</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Documentado, ubicado físicamente y registrado. Sin cargas.</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Registrar en la Base de Datos Maestra.</w:t>
            </w:r>
          </w:p>
        </w:tc>
      </w:tr>
      <w:tr>
        <w:trPr>
          <w:cantSplit/>
          <w:tblHeader w:val="false"/>
        </w:trPr>
        <w:tc>
          <w:tcPr>
            <w:tcW w:type="dxa" w:w="1500"/>
            <w:tcBorders>
              <w:top w:val="single" w:color="D3DAE3" w:sz="4"/>
              <w:left w:val="single" w:color="D3DAE3" w:sz="4"/>
              <w:bottom w:val="single" w:color="D3DAE3" w:sz="4"/>
              <w:right w:val="single" w:color="D3DAE3" w:sz="4"/>
            </w:tcBorders>
            <w:shd w:fill="FBEFC7" w:color="auto" w:val="clear"/>
            <w:tcMar>
              <w:top w:type="dxa" w:w="60"/>
              <w:left w:type="dxa" w:w="90"/>
              <w:bottom w:type="dxa" w:w="60"/>
              <w:right w:type="dxa" w:w="90"/>
            </w:tcMar>
          </w:tcPr>
          <w:p>
            <w:pPr>
              <w:spacing w:after="0" w:line="240"/>
            </w:pPr>
            <w:r>
              <w:rPr>
                <w:rFonts w:ascii="Arial" w:cs="Arial" w:eastAsia="Arial" w:hAnsi="Arial"/>
                <w:sz w:val="17"/>
                <w:szCs w:val="17"/>
              </w:rPr>
              <w:t xml:space="preserve">AMARILLO</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Inventariado, pero falta título, partida o valuación.</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Pedir por escrito que se subsane en un plazo definido.</w:t>
            </w:r>
          </w:p>
        </w:tc>
      </w:tr>
      <w:tr>
        <w:trPr>
          <w:cantSplit/>
          <w:tblHeader w:val="false"/>
        </w:trPr>
        <w:tc>
          <w:tcPr>
            <w:tcW w:type="dxa" w:w="1500"/>
            <w:tcBorders>
              <w:top w:val="single" w:color="D3DAE3" w:sz="4"/>
              <w:left w:val="single" w:color="D3DAE3" w:sz="4"/>
              <w:bottom w:val="single" w:color="D3DAE3" w:sz="4"/>
              <w:right w:val="single" w:color="D3DAE3" w:sz="4"/>
            </w:tcBorders>
            <w:shd w:fill="F8D4D0" w:color="auto" w:val="clear"/>
            <w:tcMar>
              <w:top w:type="dxa" w:w="60"/>
              <w:left w:type="dxa" w:w="90"/>
              <w:bottom w:type="dxa" w:w="60"/>
              <w:right w:type="dxa" w:w="90"/>
            </w:tcMar>
          </w:tcPr>
          <w:p>
            <w:pPr>
              <w:spacing w:after="0" w:line="240"/>
            </w:pPr>
            <w:r>
              <w:rPr>
                <w:rFonts w:ascii="Arial" w:cs="Arial" w:eastAsia="Arial" w:hAnsi="Arial"/>
                <w:sz w:val="17"/>
                <w:szCs w:val="17"/>
              </w:rPr>
              <w:t xml:space="preserve">ROJO</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Declarado pero no encontrado, o sin respaldo registral.</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Dejar constancia en el acta y comunicarlo al OCI.</w:t>
            </w:r>
          </w:p>
        </w:tc>
      </w:tr>
      <w:tr>
        <w:trPr>
          <w:cantSplit/>
          <w:tblHeader w:val="false"/>
        </w:trPr>
        <w:tc>
          <w:tcPr>
            <w:tcW w:type="dxa" w:w="1500"/>
            <w:tcBorders>
              <w:top w:val="single" w:color="D3DAE3" w:sz="4"/>
              <w:left w:val="single" w:color="D3DAE3" w:sz="4"/>
              <w:bottom w:val="single" w:color="D3DAE3" w:sz="4"/>
              <w:right w:val="single" w:color="D3DAE3" w:sz="4"/>
            </w:tcBorders>
            <w:shd w:fill="D5D8DD" w:color="auto" w:val="clear"/>
            <w:tcMar>
              <w:top w:type="dxa" w:w="60"/>
              <w:left w:type="dxa" w:w="90"/>
              <w:bottom w:type="dxa" w:w="60"/>
              <w:right w:type="dxa" w:w="90"/>
            </w:tcMar>
          </w:tcPr>
          <w:p>
            <w:pPr>
              <w:spacing w:after="0" w:line="240"/>
            </w:pPr>
            <w:r>
              <w:rPr>
                <w:rFonts w:ascii="Arial" w:cs="Arial" w:eastAsia="Arial" w:hAnsi="Arial"/>
                <w:sz w:val="17"/>
                <w:szCs w:val="17"/>
              </w:rPr>
              <w:t xml:space="preserve">NEGRO</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Faltante, destruido o transferido de forma irregular.</w:t>
            </w:r>
          </w:p>
        </w:tc>
        <w:tc>
          <w:tcPr>
            <w:tcW w:type="dxa" w:w="4069"/>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sz w:val="17"/>
                <w:szCs w:val="17"/>
              </w:rPr>
              <w:t xml:space="preserve">Observación grave en el acta. Evaluar con asesoría legal las acciones ante el OCI, la Contraloría o la Fiscalía.</w:t>
            </w:r>
          </w:p>
        </w:tc>
      </w:tr>
    </w:tbl>
    <w:p>
      <w:pPr>
        <w:pStyle w:val="Heading1"/>
        <w:keepNext/>
        <w:pBdr>
          <w:bottom w:val="single" w:color="A87C2E" w:sz="8" w:space="3"/>
        </w:pBdr>
        <w:spacing w:after="120" w:before="320"/>
      </w:pPr>
      <w:r>
        <w:rPr>
          <w:rFonts w:ascii="Arial" w:cs="Arial" w:eastAsia="Arial" w:hAnsi="Arial"/>
          <w:b/>
          <w:bCs/>
          <w:color w:val="A87C2E"/>
          <w:sz w:val="26"/>
          <w:szCs w:val="26"/>
        </w:rPr>
        <w:t xml:space="preserve">V.  </w:t>
      </w:r>
      <w:r>
        <w:rPr>
          <w:rFonts w:ascii="Arial" w:cs="Arial" w:eastAsia="Arial" w:hAnsi="Arial"/>
          <w:b/>
          <w:bCs/>
          <w:color w:val="15233A"/>
          <w:sz w:val="26"/>
          <w:szCs w:val="26"/>
        </w:rPr>
        <w:t xml:space="preserve">Cruces de verificación con información pública</w:t>
      </w:r>
    </w:p>
    <w:p>
      <w:pPr>
        <w:spacing w:after="100" w:line="264"/>
        <w:jc w:val="both"/>
      </w:pPr>
      <w:r>
        <w:rPr>
          <w:rFonts w:ascii="Arial" w:cs="Arial" w:eastAsia="Arial" w:hAnsi="Arial"/>
          <w:sz w:val="20"/>
          <w:szCs w:val="20"/>
        </w:rPr>
        <w:t xml:space="preserve">Mucha información de gobiernos regionales y municipalidades ya es pública. El equipo de la autoridad electa puede empezar a revisarla desde la proclamación, antes de recibir un solo documento, y luego cruzarla con lo que entregue la gestión saliente. Con apoyo de inteligencia artificial, estos cruces se hacen en días y no en semanas.</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1500"/>
        <w:gridCol w:w="2400"/>
        <w:gridCol w:w="2700"/>
        <w:gridCol w:w="3038"/>
      </w:tblGrid>
      <w:tr>
        <w:trPr>
          <w:cantSplit/>
          <w:tblHeader/>
        </w:trPr>
        <w:tc>
          <w:tcPr>
            <w:tcW w:type="dxa" w:w="15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Cruce</w:t>
            </w:r>
          </w:p>
        </w:tc>
        <w:tc>
          <w:tcPr>
            <w:tcW w:type="dxa" w:w="24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Lo declarado</w:t>
            </w:r>
          </w:p>
        </w:tc>
        <w:tc>
          <w:tcPr>
            <w:tcW w:type="dxa" w:w="27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Se compara con</w:t>
            </w:r>
          </w:p>
        </w:tc>
        <w:tc>
          <w:tcPr>
            <w:tcW w:type="dxa" w:w="30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Alerta si</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1. Presupuesto</w:t>
            </w:r>
          </w:p>
        </w:tc>
        <w:tc>
          <w:tcPr>
            <w:tcW w:type="dxa" w:w="24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PIM y ejecución declarados</w:t>
            </w:r>
          </w:p>
        </w:tc>
        <w:tc>
          <w:tcPr>
            <w:tcW w:type="dxa" w:w="2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Consulta Amigable del MEF</w:t>
            </w:r>
          </w:p>
        </w:tc>
        <w:tc>
          <w:tcPr>
            <w:tcW w:type="dxa" w:w="3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La diferencia supera el 5%</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2. Personal</w:t>
            </w:r>
          </w:p>
        </w:tc>
        <w:tc>
          <w:tcPr>
            <w:tcW w:type="dxa" w:w="24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Planilla declarada</w:t>
            </w:r>
          </w:p>
        </w:tc>
        <w:tc>
          <w:tcPr>
            <w:tcW w:type="dxa" w:w="2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AIRHSP</w:t>
            </w:r>
          </w:p>
        </w:tc>
        <w:tc>
          <w:tcPr>
            <w:tcW w:type="dxa" w:w="3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Hay personas en planilla que no figuran en el registro</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3. Contratos</w:t>
            </w:r>
          </w:p>
        </w:tc>
        <w:tc>
          <w:tcPr>
            <w:tcW w:type="dxa" w:w="24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Contratos declarados</w:t>
            </w:r>
          </w:p>
        </w:tc>
        <w:tc>
          <w:tcPr>
            <w:tcW w:type="dxa" w:w="2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SEACE</w:t>
            </w:r>
          </w:p>
        </w:tc>
        <w:tc>
          <w:tcPr>
            <w:tcW w:type="dxa" w:w="3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Hay contratos no registrados o con montos distintos</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4. Bienes</w:t>
            </w:r>
          </w:p>
        </w:tc>
        <w:tc>
          <w:tcPr>
            <w:tcW w:type="dxa" w:w="24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Inventario verificado</w:t>
            </w:r>
          </w:p>
        </w:tc>
        <w:tc>
          <w:tcPr>
            <w:tcW w:type="dxa" w:w="2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SIGA</w:t>
            </w:r>
          </w:p>
        </w:tc>
        <w:tc>
          <w:tcPr>
            <w:tcW w:type="dxa" w:w="3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Hay bienes que figuran en uno y no en el otro</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5. Inmuebles</w:t>
            </w:r>
          </w:p>
        </w:tc>
        <w:tc>
          <w:tcPr>
            <w:tcW w:type="dxa" w:w="24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Fichas de inmuebles</w:t>
            </w:r>
          </w:p>
        </w:tc>
        <w:tc>
          <w:tcPr>
            <w:tcW w:type="dxa" w:w="2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SUNARP</w:t>
            </w:r>
          </w:p>
        </w:tc>
        <w:tc>
          <w:tcPr>
            <w:tcW w:type="dxa" w:w="3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Faltan partidas o hay cargas no declaradas</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6. Obras</w:t>
            </w:r>
          </w:p>
        </w:tc>
        <w:tc>
          <w:tcPr>
            <w:tcW w:type="dxa" w:w="24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Avance declarado</w:t>
            </w:r>
          </w:p>
        </w:tc>
        <w:tc>
          <w:tcPr>
            <w:tcW w:type="dxa" w:w="2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Infobras y Banco de Inversiones</w:t>
            </w:r>
          </w:p>
        </w:tc>
        <w:tc>
          <w:tcPr>
            <w:tcW w:type="dxa" w:w="3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El avance declarado no coincide</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7. Deudas</w:t>
            </w:r>
          </w:p>
        </w:tc>
        <w:tc>
          <w:tcPr>
            <w:tcW w:type="dxa" w:w="24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Deudas declaradas</w:t>
            </w:r>
          </w:p>
        </w:tc>
        <w:tc>
          <w:tcPr>
            <w:tcW w:type="dxa" w:w="27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Compromisos y devengados del SIAF</w:t>
            </w:r>
          </w:p>
        </w:tc>
        <w:tc>
          <w:tcPr>
            <w:tcW w:type="dxa" w:w="3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Hay deudas no declaradas o menores a las registradas</w:t>
            </w:r>
          </w:p>
        </w:tc>
      </w:tr>
    </w:tbl>
    <w:p>
      <w:pPr>
        <w:pStyle w:val="Heading1"/>
        <w:keepNext/>
        <w:pBdr>
          <w:bottom w:val="single" w:color="A87C2E" w:sz="8" w:space="3"/>
        </w:pBdr>
        <w:spacing w:after="120" w:before="320"/>
      </w:pPr>
      <w:r>
        <w:rPr>
          <w:rFonts w:ascii="Arial" w:cs="Arial" w:eastAsia="Arial" w:hAnsi="Arial"/>
          <w:b/>
          <w:bCs/>
          <w:color w:val="A87C2E"/>
          <w:sz w:val="26"/>
          <w:szCs w:val="26"/>
        </w:rPr>
        <w:t xml:space="preserve">VI.  </w:t>
      </w:r>
      <w:r>
        <w:rPr>
          <w:rFonts w:ascii="Arial" w:cs="Arial" w:eastAsia="Arial" w:hAnsi="Arial"/>
          <w:b/>
          <w:bCs/>
          <w:color w:val="15233A"/>
          <w:sz w:val="26"/>
          <w:szCs w:val="26"/>
        </w:rPr>
        <w:t xml:space="preserve">Fases de la transferencia, paso a paso</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1500"/>
        <w:gridCol w:w="2100"/>
        <w:gridCol w:w="3938"/>
        <w:gridCol w:w="2100"/>
      </w:tblGrid>
      <w:tr>
        <w:trPr>
          <w:cantSplit/>
          <w:tblHeader/>
        </w:trPr>
        <w:tc>
          <w:tcPr>
            <w:tcW w:type="dxa" w:w="15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Fase</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Cuándo</w:t>
            </w:r>
          </w:p>
        </w:tc>
        <w:tc>
          <w:tcPr>
            <w:tcW w:type="dxa" w:w="39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Qué hacer</w:t>
            </w:r>
          </w:p>
        </w:tc>
        <w:tc>
          <w:tcPr>
            <w:tcW w:type="dxa" w:w="21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Documento del kit</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0. Preparación</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Desde la proclamación</w:t>
            </w:r>
          </w:p>
        </w:tc>
        <w:tc>
          <w:tcPr>
            <w:tcW w:type="dxa" w:w="3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Designar a los dos representantes y al equipo técnico. Revisar la información pública de la entidad.</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Esta guía</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1. Instalación</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Dentro de los 5 días hábiles siguientes a la proclamación</w:t>
            </w:r>
          </w:p>
        </w:tc>
        <w:tc>
          <w:tcPr>
            <w:tcW w:type="dxa" w:w="3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Instalar la Comisión, aprobar su plan de trabajo y solicitar formalmente los 46 entregables.</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Acta de instalación y Oficio de solicitud</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2. Recepción</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Primeras semanas de trabajo de la Comisión</w:t>
            </w:r>
          </w:p>
        </w:tc>
        <w:tc>
          <w:tcPr>
            <w:tcW w:type="dxa" w:w="3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Recibir y digitalizar los entregables. Verificación documental (nivel 1).</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Checklists de bienes, presupuesto y contratos</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3. Verificación</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Antes de diciembre</w:t>
            </w:r>
          </w:p>
        </w:tc>
        <w:tc>
          <w:tcPr>
            <w:tcW w:type="dxa" w:w="3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Verificación física y registral (niveles 2 y 3). Cruces con información pública.</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Checklists y semáforo</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4. Observaciones</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Al recibir el Informe de Rendición de Cuentas y Transferencia</w:t>
            </w:r>
          </w:p>
        </w:tc>
        <w:tc>
          <w:tcPr>
            <w:tcW w:type="dxa" w:w="3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Formular observaciones por escrito y pedir que se subsanen.</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Lista de observaciones</w:t>
            </w:r>
          </w:p>
        </w:tc>
      </w:tr>
      <w:tr>
        <w:trPr>
          <w:cantSplit/>
          <w:tblHeader w:val="false"/>
        </w:trPr>
        <w:tc>
          <w:tcPr>
            <w:tcW w:type="dxa" w:w="15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5. Acta</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 más tardar el 8 de enero de 2027</w:t>
            </w:r>
          </w:p>
        </w:tc>
        <w:tc>
          <w:tcPr>
            <w:tcW w:type="dxa" w:w="39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Firmar el acta de transferencia, con las observaciones y anexos.</w:t>
            </w:r>
          </w:p>
        </w:tc>
        <w:tc>
          <w:tcPr>
            <w:tcW w:type="dxa" w:w="2100"/>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Anexos sugeridos (sección VII)</w:t>
            </w:r>
          </w:p>
        </w:tc>
      </w:tr>
    </w:tbl>
    <w:p>
      <w:pPr>
        <w:pStyle w:val="Heading1"/>
        <w:keepNext/>
        <w:pBdr>
          <w:bottom w:val="single" w:color="A87C2E" w:sz="8" w:space="3"/>
        </w:pBdr>
        <w:spacing w:after="120" w:before="320"/>
      </w:pPr>
      <w:r>
        <w:rPr>
          <w:rFonts w:ascii="Arial" w:cs="Arial" w:eastAsia="Arial" w:hAnsi="Arial"/>
          <w:b/>
          <w:bCs/>
          <w:color w:val="A87C2E"/>
          <w:sz w:val="26"/>
          <w:szCs w:val="26"/>
        </w:rPr>
        <w:t xml:space="preserve">VII.  </w:t>
      </w:r>
      <w:r>
        <w:rPr>
          <w:rFonts w:ascii="Arial" w:cs="Arial" w:eastAsia="Arial" w:hAnsi="Arial"/>
          <w:b/>
          <w:bCs/>
          <w:color w:val="15233A"/>
          <w:sz w:val="26"/>
          <w:szCs w:val="26"/>
        </w:rPr>
        <w:t xml:space="preserve">Anexos sugeridos para el Acta</w:t>
      </w:r>
    </w:p>
    <w:p>
      <w:pPr>
        <w:spacing w:after="100" w:line="264"/>
        <w:jc w:val="both"/>
      </w:pPr>
      <w:r>
        <w:rPr>
          <w:rFonts w:ascii="Arial" w:cs="Arial" w:eastAsia="Arial" w:hAnsi="Arial"/>
          <w:sz w:val="20"/>
          <w:szCs w:val="20"/>
        </w:rPr>
        <w:t xml:space="preserve">Además de lo que exige la normativa, sugerimos que el acta de transferencia incluya estos anexos, porque son los temas que más problemas causan a una gestión que empieza:</w:t>
      </w:r>
    </w:p>
    <w:p>
      <w:pPr>
        <w:pStyle w:val="ListParagraph"/>
        <w:numPr>
          <w:ilvl w:val="0"/>
          <w:numId w:val="2"/>
        </w:numPr>
        <w:spacing w:after="60" w:line="252"/>
        <w:jc w:val="left"/>
      </w:pPr>
      <w:r>
        <w:rPr>
          <w:rFonts w:ascii="Arial" w:cs="Arial" w:eastAsia="Arial" w:hAnsi="Arial"/>
          <w:sz w:val="20"/>
          <w:szCs w:val="20"/>
        </w:rPr>
        <w:t xml:space="preserve">Obras paralizadas, en arbitraje o con controversias, con su riesgo económico.</w:t>
      </w:r>
    </w:p>
    <w:p>
      <w:pPr>
        <w:pStyle w:val="ListParagraph"/>
        <w:numPr>
          <w:ilvl w:val="0"/>
          <w:numId w:val="2"/>
        </w:numPr>
        <w:spacing w:after="60" w:line="252"/>
        <w:jc w:val="left"/>
      </w:pPr>
      <w:r>
        <w:rPr>
          <w:rFonts w:ascii="Arial" w:cs="Arial" w:eastAsia="Arial" w:hAnsi="Arial"/>
          <w:sz w:val="20"/>
          <w:szCs w:val="20"/>
        </w:rPr>
        <w:t xml:space="preserve">Deudas por sentencias judiciales y laudos arbitrales.</w:t>
      </w:r>
    </w:p>
    <w:p>
      <w:pPr>
        <w:pStyle w:val="ListParagraph"/>
        <w:numPr>
          <w:ilvl w:val="0"/>
          <w:numId w:val="2"/>
        </w:numPr>
        <w:spacing w:after="60" w:line="252"/>
        <w:jc w:val="left"/>
      </w:pPr>
      <w:r>
        <w:rPr>
          <w:rFonts w:ascii="Arial" w:cs="Arial" w:eastAsia="Arial" w:hAnsi="Arial"/>
          <w:sz w:val="20"/>
          <w:szCs w:val="20"/>
        </w:rPr>
        <w:t xml:space="preserve">Recomendaciones del OCI y de la Contraloría pendientes de implementar.</w:t>
      </w:r>
    </w:p>
    <w:p>
      <w:pPr>
        <w:pStyle w:val="ListParagraph"/>
        <w:numPr>
          <w:ilvl w:val="0"/>
          <w:numId w:val="2"/>
        </w:numPr>
        <w:spacing w:after="60" w:line="252"/>
        <w:jc w:val="left"/>
      </w:pPr>
      <w:r>
        <w:rPr>
          <w:rFonts w:ascii="Arial" w:cs="Arial" w:eastAsia="Arial" w:hAnsi="Arial"/>
          <w:sz w:val="20"/>
          <w:szCs w:val="20"/>
        </w:rPr>
        <w:t xml:space="preserve">Procesos judiciales y arbitrales en curso, con su riesgo económico estimado.</w:t>
      </w:r>
    </w:p>
    <w:p>
      <w:pPr>
        <w:pStyle w:val="ListParagraph"/>
        <w:numPr>
          <w:ilvl w:val="0"/>
          <w:numId w:val="2"/>
        </w:numPr>
        <w:spacing w:after="60" w:line="252"/>
        <w:jc w:val="left"/>
      </w:pPr>
      <w:r>
        <w:rPr>
          <w:rFonts w:ascii="Arial" w:cs="Arial" w:eastAsia="Arial" w:hAnsi="Arial"/>
          <w:sz w:val="20"/>
          <w:szCs w:val="20"/>
        </w:rPr>
        <w:t xml:space="preserve">Inmuebles sin saneamiento físico legal.</w:t>
      </w:r>
    </w:p>
    <w:p>
      <w:pPr>
        <w:pStyle w:val="ListParagraph"/>
        <w:numPr>
          <w:ilvl w:val="0"/>
          <w:numId w:val="2"/>
        </w:numPr>
        <w:spacing w:after="60" w:line="252"/>
        <w:jc w:val="left"/>
      </w:pPr>
      <w:r>
        <w:rPr>
          <w:rFonts w:ascii="Arial" w:cs="Arial" w:eastAsia="Arial" w:hAnsi="Arial"/>
          <w:sz w:val="20"/>
          <w:szCs w:val="20"/>
        </w:rPr>
        <w:t xml:space="preserve">Estado de los padrones de programas sociales, como el Vaso de Leche en municipalidades.</w:t>
      </w:r>
    </w:p>
    <w:p>
      <w:pPr>
        <w:pStyle w:val="ListParagraph"/>
        <w:numPr>
          <w:ilvl w:val="0"/>
          <w:numId w:val="2"/>
        </w:numPr>
        <w:spacing w:after="60" w:line="252"/>
        <w:jc w:val="left"/>
      </w:pPr>
      <w:r>
        <w:rPr>
          <w:rFonts w:ascii="Arial" w:cs="Arial" w:eastAsia="Arial" w:hAnsi="Arial"/>
          <w:sz w:val="20"/>
          <w:szCs w:val="20"/>
        </w:rPr>
        <w:t xml:space="preserve">Compromisos de inversión con otros niveles de gobierno y con la cooperación.</w:t>
      </w:r>
    </w:p>
    <w:p>
      <w:pPr>
        <w:pStyle w:val="ListParagraph"/>
        <w:numPr>
          <w:ilvl w:val="0"/>
          <w:numId w:val="2"/>
        </w:numPr>
        <w:spacing w:after="60" w:line="252"/>
        <w:jc w:val="left"/>
      </w:pPr>
      <w:r>
        <w:rPr>
          <w:rFonts w:ascii="Arial" w:cs="Arial" w:eastAsia="Arial" w:hAnsi="Arial"/>
          <w:sz w:val="20"/>
          <w:szCs w:val="20"/>
        </w:rPr>
        <w:t xml:space="preserve">Conflictos sociales activos en la jurisdicción.</w:t>
      </w:r>
    </w:p>
    <w:p>
      <w:pPr>
        <w:pStyle w:val="Heading1"/>
        <w:keepNext/>
        <w:pBdr>
          <w:bottom w:val="single" w:color="A87C2E" w:sz="8" w:space="3"/>
        </w:pBdr>
        <w:spacing w:after="120" w:before="320"/>
      </w:pPr>
      <w:r>
        <w:rPr>
          <w:rFonts w:ascii="Arial" w:cs="Arial" w:eastAsia="Arial" w:hAnsi="Arial"/>
          <w:b/>
          <w:bCs/>
          <w:color w:val="A87C2E"/>
          <w:sz w:val="26"/>
          <w:szCs w:val="26"/>
        </w:rPr>
        <w:t xml:space="preserve">VIII.  </w:t>
      </w:r>
      <w:r>
        <w:rPr>
          <w:rFonts w:ascii="Arial" w:cs="Arial" w:eastAsia="Arial" w:hAnsi="Arial"/>
          <w:b/>
          <w:bCs/>
          <w:color w:val="15233A"/>
          <w:sz w:val="26"/>
          <w:szCs w:val="26"/>
        </w:rPr>
        <w:t xml:space="preserve">Del 1 de enero en adelante: gestionar con lo recibido</w:t>
      </w:r>
    </w:p>
    <w:p>
      <w:pPr>
        <w:spacing w:after="100" w:line="264"/>
        <w:jc w:val="both"/>
      </w:pPr>
      <w:r>
        <w:rPr>
          <w:rFonts w:ascii="Arial" w:cs="Arial" w:eastAsia="Arial" w:hAnsi="Arial"/>
          <w:sz w:val="20"/>
          <w:szCs w:val="20"/>
        </w:rPr>
        <w:t xml:space="preserve">La transferencia termina con un acta, pero la Base de Datos Maestra que se construyó en estas semanas es el punto de partida de toda la gestión 2027–2030. Con ella, la nueva autoridad puede:</w:t>
      </w:r>
    </w:p>
    <w:p>
      <w:pPr>
        <w:pStyle w:val="ListParagraph"/>
        <w:numPr>
          <w:ilvl w:val="0"/>
          <w:numId w:val="2"/>
        </w:numPr>
        <w:spacing w:after="60" w:line="252"/>
        <w:jc w:val="left"/>
      </w:pPr>
      <w:r>
        <w:rPr>
          <w:rFonts w:ascii="Arial" w:cs="Arial" w:eastAsia="Arial" w:hAnsi="Arial"/>
          <w:sz w:val="20"/>
          <w:szCs w:val="20"/>
        </w:rPr>
        <w:t xml:space="preserve">Fijar las prioridades de los primeros 100 días con datos verificados, no con supuestos.</w:t>
      </w:r>
    </w:p>
    <w:p>
      <w:pPr>
        <w:pStyle w:val="ListParagraph"/>
        <w:numPr>
          <w:ilvl w:val="0"/>
          <w:numId w:val="2"/>
        </w:numPr>
        <w:spacing w:after="60" w:line="252"/>
        <w:jc w:val="left"/>
      </w:pPr>
      <w:r>
        <w:rPr>
          <w:rFonts w:ascii="Arial" w:cs="Arial" w:eastAsia="Arial" w:hAnsi="Arial"/>
          <w:sz w:val="20"/>
          <w:szCs w:val="20"/>
        </w:rPr>
        <w:t xml:space="preserve">Enlazar su plan de gobierno con el PEI vigente, con metas, plazos y responsables.</w:t>
      </w:r>
    </w:p>
    <w:p>
      <w:pPr>
        <w:pStyle w:val="ListParagraph"/>
        <w:numPr>
          <w:ilvl w:val="0"/>
          <w:numId w:val="2"/>
        </w:numPr>
        <w:spacing w:after="60" w:line="252"/>
        <w:jc w:val="left"/>
      </w:pPr>
      <w:r>
        <w:rPr>
          <w:rFonts w:ascii="Arial" w:cs="Arial" w:eastAsia="Arial" w:hAnsi="Arial"/>
          <w:sz w:val="20"/>
          <w:szCs w:val="20"/>
        </w:rPr>
        <w:t xml:space="preserve">Ver con un semáforo qué metas avanzan y cuáles se retrasan, con alertas a tiempo.</w:t>
      </w:r>
    </w:p>
    <w:p>
      <w:pPr>
        <w:pStyle w:val="ListParagraph"/>
        <w:numPr>
          <w:ilvl w:val="0"/>
          <w:numId w:val="2"/>
        </w:numPr>
        <w:spacing w:after="60" w:line="252"/>
        <w:jc w:val="left"/>
      </w:pPr>
      <w:r>
        <w:rPr>
          <w:rFonts w:ascii="Arial" w:cs="Arial" w:eastAsia="Arial" w:hAnsi="Arial"/>
          <w:sz w:val="20"/>
          <w:szCs w:val="20"/>
        </w:rPr>
        <w:t xml:space="preserve">Controlar los plazos de los trámites, para que ningún expediente del vecino se venza.</w:t>
      </w:r>
    </w:p>
    <w:p>
      <w:pPr>
        <w:pStyle w:val="ListParagraph"/>
        <w:numPr>
          <w:ilvl w:val="0"/>
          <w:numId w:val="2"/>
        </w:numPr>
        <w:spacing w:after="60" w:line="252"/>
        <w:jc w:val="left"/>
      </w:pPr>
      <w:r>
        <w:rPr>
          <w:rFonts w:ascii="Arial" w:cs="Arial" w:eastAsia="Arial" w:hAnsi="Arial"/>
          <w:sz w:val="20"/>
          <w:szCs w:val="20"/>
        </w:rPr>
        <w:t xml:space="preserve">Rendir cuentas con evidencia ante el concejo, la Contraloría y la ciudadanía.</w:t>
      </w:r>
    </w:p>
    <w:p>
      <w:pPr>
        <w:spacing w:after="120"/>
      </w:pP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none" w:color="FFFFFF" w:sz="0"/>
              <w:left w:val="single" w:color="0B6E78" w:sz="24"/>
              <w:bottom w:val="none" w:color="FFFFFF" w:sz="0"/>
              <w:right w:val="none" w:color="FFFFFF" w:sz="0"/>
            </w:tcBorders>
            <w:shd w:fill="E8F3F4" w:color="auto" w:val="clear"/>
            <w:tcMar>
              <w:top w:type="dxa" w:w="120"/>
              <w:left w:type="dxa" w:w="200"/>
              <w:bottom w:type="dxa" w:w="120"/>
              <w:right w:type="dxa" w:w="200"/>
            </w:tcMar>
          </w:tcPr>
          <w:p>
            <w:pPr>
              <w:spacing w:after="60"/>
            </w:pPr>
            <w:r>
              <w:rPr>
                <w:rFonts w:ascii="Arial" w:cs="Arial" w:eastAsia="Arial" w:hAnsi="Arial"/>
                <w:b/>
                <w:bCs/>
                <w:color w:val="0B6E78"/>
                <w:sz w:val="20"/>
                <w:szCs w:val="20"/>
              </w:rPr>
              <w:t xml:space="preserve">NÚCLEO: gestión por resultados y por procesos con inteligencia artificial</w:t>
            </w:r>
          </w:p>
          <w:p>
            <w:pPr>
              <w:spacing w:after="40" w:line="252"/>
            </w:pPr>
            <w:r>
              <w:rPr>
                <w:rFonts w:ascii="Arial" w:cs="Arial" w:eastAsia="Arial" w:hAnsi="Arial"/>
                <w:sz w:val="20"/>
                <w:szCs w:val="20"/>
              </w:rPr>
              <w:t xml:space="preserve">NÚCLEO es una plataforma peruana en la nube, alineada con la Ley Marco de Modernización de la Gestión del Estado (Ley N.° 27658), que convierte la información recibida en la transferencia en un tablero de gestión desde el primer día.</w:t>
            </w:r>
          </w:p>
          <w:p>
            <w:pPr>
              <w:spacing w:after="40" w:line="252"/>
            </w:pPr>
            <w:r>
              <w:rPr>
                <w:rFonts w:ascii="Arial" w:cs="Arial" w:eastAsia="Arial" w:hAnsi="Arial"/>
                <w:b/>
                <w:bCs/>
                <w:sz w:val="20"/>
                <w:szCs w:val="20"/>
              </w:rPr>
              <w:t xml:space="preserve">Conozca NÚCLEO: </w:t>
            </w:r>
            <w:r>
              <w:rPr>
                <w:rFonts w:ascii="Arial" w:cs="Arial" w:eastAsia="Arial" w:hAnsi="Arial"/>
                <w:sz w:val="20"/>
                <w:szCs w:val="20"/>
              </w:rPr>
              <w:t xml:space="preserve">nucleo.miespaciodigital.net/n2/que-es-nucleo-2/</w:t>
            </w:r>
          </w:p>
          <w:p>
            <w:pPr>
              <w:spacing w:after="40" w:line="252"/>
            </w:pPr>
            <w:r>
              <w:rPr>
                <w:rFonts w:ascii="Arial" w:cs="Arial" w:eastAsia="Arial" w:hAnsi="Arial"/>
                <w:b/>
                <w:bCs/>
                <w:sz w:val="20"/>
                <w:szCs w:val="20"/>
              </w:rPr>
              <w:t xml:space="preserve">Escríbanos: </w:t>
            </w:r>
            <w:r>
              <w:rPr>
                <w:rFonts w:ascii="Arial" w:cs="Arial" w:eastAsia="Arial" w:hAnsi="Arial"/>
                <w:sz w:val="20"/>
                <w:szCs w:val="20"/>
              </w:rPr>
              <w:t xml:space="preserve">nucleo@miespaciodigital.net</w:t>
            </w:r>
          </w:p>
        </w:tc>
      </w:tr>
    </w:tbl>
    <w:p>
      <w:pPr>
        <w:pStyle w:val="Heading1"/>
        <w:keepNext/>
        <w:pBdr>
          <w:bottom w:val="single" w:color="A87C2E" w:sz="8" w:space="3"/>
        </w:pBdr>
        <w:spacing w:after="120" w:before="320"/>
      </w:pPr>
      <w:r>
        <w:rPr>
          <w:rFonts w:ascii="Arial" w:cs="Arial" w:eastAsia="Arial" w:hAnsi="Arial"/>
          <w:b/>
          <w:bCs/>
          <w:color w:val="A87C2E"/>
          <w:sz w:val="26"/>
          <w:szCs w:val="26"/>
        </w:rPr>
        <w:t xml:space="preserve"/>
      </w:r>
      <w:r>
        <w:rPr>
          <w:rFonts w:ascii="Arial" w:cs="Arial" w:eastAsia="Arial" w:hAnsi="Arial"/>
          <w:b/>
          <w:bCs/>
          <w:color w:val="15233A"/>
          <w:sz w:val="26"/>
          <w:szCs w:val="26"/>
        </w:rPr>
        <w:t xml:space="preserve">Documentos que acompañan esta guía</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4600"/>
        <w:gridCol w:w="5038"/>
      </w:tblGrid>
      <w:tr>
        <w:trPr>
          <w:cantSplit/>
          <w:tblHeader/>
        </w:trPr>
        <w:tc>
          <w:tcPr>
            <w:tcW w:type="dxa" w:w="4600"/>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Documento</w:t>
            </w:r>
          </w:p>
        </w:tc>
        <w:tc>
          <w:tcPr>
            <w:tcW w:type="dxa" w:w="5038"/>
            <w:tcBorders>
              <w:top w:val="single" w:color="D3DAE3" w:sz="4"/>
              <w:left w:val="single" w:color="D3DAE3" w:sz="4"/>
              <w:bottom w:val="single" w:color="D3DAE3" w:sz="4"/>
              <w:right w:val="single" w:color="D3DAE3" w:sz="4"/>
            </w:tcBorders>
            <w:shd w:fill="15233A" w:color="auto" w:val="clear"/>
            <w:tcMar>
              <w:top w:type="dxa" w:w="60"/>
              <w:left w:type="dxa" w:w="90"/>
              <w:bottom w:type="dxa" w:w="60"/>
              <w:right w:type="dxa" w:w="90"/>
            </w:tcMar>
          </w:tcPr>
          <w:p>
            <w:pPr>
              <w:spacing w:after="0" w:line="240"/>
            </w:pPr>
            <w:r>
              <w:rPr>
                <w:rFonts w:ascii="Arial" w:cs="Arial" w:eastAsia="Arial" w:hAnsi="Arial"/>
                <w:b/>
                <w:bCs/>
                <w:color w:val="FFFFFF"/>
                <w:sz w:val="17"/>
                <w:szCs w:val="17"/>
              </w:rPr>
              <w:t xml:space="preserve">Para qué sirve</w:t>
            </w:r>
          </w:p>
        </w:tc>
      </w:tr>
      <w:tr>
        <w:trPr>
          <w:cantSplit/>
          <w:tblHeader w:val="false"/>
        </w:trPr>
        <w:tc>
          <w:tcPr>
            <w:tcW w:type="dxa" w:w="4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Oficio modelo de solicitud de los 46 entregables</w:t>
            </w:r>
          </w:p>
        </w:tc>
        <w:tc>
          <w:tcPr>
            <w:tcW w:type="dxa" w:w="5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Pedido formal de la autoridad electa a la autoridad en ejercicio.</w:t>
            </w:r>
          </w:p>
        </w:tc>
      </w:tr>
      <w:tr>
        <w:trPr>
          <w:cantSplit/>
          <w:tblHeader w:val="false"/>
        </w:trPr>
        <w:tc>
          <w:tcPr>
            <w:tcW w:type="dxa" w:w="4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Acta modelo de instalación de la Comisión de Transferencia</w:t>
            </w:r>
          </w:p>
        </w:tc>
        <w:tc>
          <w:tcPr>
            <w:tcW w:type="dxa" w:w="5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Dejar constancia de la instalación, los integrantes y el plan de trabajo.</w:t>
            </w:r>
          </w:p>
        </w:tc>
      </w:tr>
      <w:tr>
        <w:trPr>
          <w:cantSplit/>
          <w:tblHeader w:val="false"/>
        </w:trPr>
        <w:tc>
          <w:tcPr>
            <w:tcW w:type="dxa" w:w="4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Checklist 1: bienes e inmuebles</w:t>
            </w:r>
          </w:p>
        </w:tc>
        <w:tc>
          <w:tcPr>
            <w:tcW w:type="dxa" w:w="5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Verificación Triple con semáforo.</w:t>
            </w:r>
          </w:p>
        </w:tc>
      </w:tr>
      <w:tr>
        <w:trPr>
          <w:cantSplit/>
          <w:tblHeader w:val="false"/>
        </w:trPr>
        <w:tc>
          <w:tcPr>
            <w:tcW w:type="dxa" w:w="4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Checklist 2: presupuesto y finanzas</w:t>
            </w:r>
          </w:p>
        </w:tc>
        <w:tc>
          <w:tcPr>
            <w:tcW w:type="dxa" w:w="5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Cruce con el SIAF y la Consulta Amigable del MEF.</w:t>
            </w:r>
          </w:p>
        </w:tc>
      </w:tr>
      <w:tr>
        <w:trPr>
          <w:cantSplit/>
          <w:tblHeader w:val="false"/>
        </w:trPr>
        <w:tc>
          <w:tcPr>
            <w:tcW w:type="dxa" w:w="4600"/>
            <w:tcBorders>
              <w:top w:val="single" w:color="D3DAE3" w:sz="4"/>
              <w:left w:val="single" w:color="D3DAE3" w:sz="4"/>
              <w:bottom w:val="single" w:color="D3DAE3" w:sz="4"/>
              <w:right w:val="single" w:color="D3DAE3" w:sz="4"/>
            </w:tcBorders>
            <w:shd w:fill="F2F5F8" w:color="auto" w:val="clear"/>
            <w:tcMar>
              <w:top w:type="dxa" w:w="60"/>
              <w:left w:type="dxa" w:w="90"/>
              <w:bottom w:type="dxa" w:w="60"/>
              <w:right w:type="dxa" w:w="90"/>
            </w:tcMar>
          </w:tcPr>
          <w:p>
            <w:pPr>
              <w:spacing w:after="0" w:line="240"/>
            </w:pPr>
            <w:r>
              <w:rPr>
                <w:rFonts w:ascii="Arial" w:cs="Arial" w:eastAsia="Arial" w:hAnsi="Arial"/>
                <w:b/>
                <w:bCs/>
                <w:color w:val="15233A"/>
                <w:sz w:val="17"/>
                <w:szCs w:val="17"/>
              </w:rPr>
              <w:t xml:space="preserve">Checklist 3: contratos, obras e inversiones</w:t>
            </w:r>
          </w:p>
        </w:tc>
        <w:tc>
          <w:tcPr>
            <w:tcW w:type="dxa" w:w="5038"/>
            <w:tcBorders>
              <w:top w:val="single" w:color="D3DAE3" w:sz="4"/>
              <w:left w:val="single" w:color="D3DAE3" w:sz="4"/>
              <w:bottom w:val="single" w:color="D3DAE3" w:sz="4"/>
              <w:right w:val="single" w:color="D3DAE3" w:sz="4"/>
            </w:tcBorders>
            <w:tcMar>
              <w:top w:type="dxa" w:w="60"/>
              <w:left w:type="dxa" w:w="90"/>
              <w:bottom w:type="dxa" w:w="60"/>
              <w:right w:type="dxa" w:w="90"/>
            </w:tcMar>
          </w:tcPr>
          <w:p>
            <w:pPr>
              <w:spacing w:after="0" w:line="240"/>
            </w:pPr>
            <w:r>
              <w:rPr>
                <w:rFonts w:ascii="Arial" w:cs="Arial" w:eastAsia="Arial" w:hAnsi="Arial"/>
                <w:b w:val="false"/>
                <w:bCs w:val="false"/>
                <w:sz w:val="17"/>
                <w:szCs w:val="17"/>
              </w:rPr>
              <w:t xml:space="preserve">Cruce con el SEACE, Infobras y el Banco de Inversiones.</w:t>
            </w:r>
          </w:p>
        </w:tc>
      </w:tr>
    </w:tbl>
    <w:p>
      <w:pPr>
        <w:spacing w:after="200"/>
      </w:pPr>
    </w:p>
    <w:p>
      <w:pPr>
        <w:spacing w:after="100" w:line="264"/>
        <w:jc w:val="right"/>
      </w:pPr>
      <w:r>
        <w:rPr>
          <w:rFonts w:ascii="Arial" w:cs="Arial" w:eastAsia="Arial" w:hAnsi="Arial"/>
          <w:color w:val="55657C"/>
          <w:sz w:val="18"/>
          <w:szCs w:val="18"/>
        </w:rPr>
        <w:t xml:space="preserve">Ing. Santos Jaimes Serkovic · NÚCLEO · Octubre de 2026</w:t>
      </w:r>
    </w:p>
    <w:sectPr>
      <w:footerReference w:type="default" r:id="rId7"/>
      <w:pgSz w:w="11906" w:h="16838" w:orient="portrait"/>
      <w:pgMar w:top="1000" w:right="1134" w:bottom="100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3DAE3" w:sz="4" w:space="4"/>
      </w:pBdr>
      <w:jc w:val="center"/>
    </w:pPr>
    <w:r>
      <w:rPr>
        <w:rFonts w:ascii="Arial" w:cs="Arial" w:eastAsia="Arial" w:hAnsi="Arial"/>
        <w:color w:val="55657C"/>
        <w:sz w:val="14"/>
        <w:szCs w:val="14"/>
      </w:rPr>
      <w:t xml:space="preserve">Kit de Transferencia de Gestión 2026 · Guía Maestra · NÚCLEO · nucleo@miespaciodigital.net · Página </w:t>
    </w:r>
    <w:r>
      <w:rPr>
        <w:rFonts w:ascii="Arial" w:cs="Arial" w:eastAsia="Arial" w:hAnsi="Arial"/>
        <w:color w:val="55657C"/>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0" w:hanging="240"/>
      </w:pPr>
    </w:lvl>
  </w:abstractNum>
  <w:abstractNum w:abstractNumId="3" w15:restartNumberingAfterBreak="0">
    <w:multiLevelType w:val="hybridMultilevel"/>
    <w:lvl w:ilvl="0" w15:tentative="1">
      <w:start w:val="1"/>
      <w:numFmt w:val="decimal"/>
      <w:lvlText w:val="%1."/>
      <w:lvlJc w:val="left"/>
      <w:pPr>
        <w:ind w:left="400" w:hanging="300"/>
      </w:pPr>
    </w:lvl>
  </w:abstractNum>
  <w:abstractNum w:abstractNumId="4" w15:restartNumberingAfterBreak="0">
    <w:multiLevelType w:val="hybridMultilevel"/>
    <w:lvl w:ilvl="0" w15:tentative="1">
      <w:start w:val="1"/>
      <w:numFmt w:val="decimal"/>
      <w:lvlText w:val="%1."/>
      <w:lvlJc w:val="left"/>
      <w:pPr>
        <w:ind w:left="400" w:hanging="300"/>
      </w:pPr>
    </w:lvl>
  </w:abstractNum>
  <w:abstractNum w:abstractNumId="5" w15:restartNumberingAfterBreak="0">
    <w:multiLevelType w:val="hybridMultilevel"/>
    <w:lvl w:ilvl="0" w15:tentative="1">
      <w:start w:val="1"/>
      <w:numFmt w:val="decimal"/>
      <w:lvlText w:val="%1."/>
      <w:lvlJc w:val="left"/>
      <w:pPr>
        <w:ind w:left="400" w:hanging="3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outlineLvl w:val="0"/>
    </w:pPr>
    <w:rPr>
      <w:rFonts w:ascii="Arial" w:cs="Arial" w:eastAsia="Arial" w:hAnsi="Arial"/>
      <w:b/>
      <w:bCs/>
      <w:color w:val="15233A"/>
      <w:sz w:val="26"/>
      <w:szCs w:val="26"/>
    </w:rPr>
  </w:style>
  <w:style w:type="paragraph" w:styleId="Heading2">
    <w:name w:val="Heading 2"/>
    <w:basedOn w:val="Normal"/>
    <w:next w:val="Normal"/>
    <w:qFormat/>
    <w:pPr>
      <w:outlineLvl w:val="1"/>
    </w:pPr>
    <w:rPr>
      <w:rFonts w:ascii="Arial" w:cs="Arial" w:eastAsia="Arial" w:hAnsi="Arial"/>
      <w:b/>
      <w:bCs/>
      <w:color w:val="0B6E78"/>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 de Transferencia de Gestión 2026 · Guía Maestra</dc:title>
  <dc:creator>Ing. Santos Jaimes Serkovic · NÚCLEO</dc:creator>
  <cp:lastModifiedBy>Un-named</cp:lastModifiedBy>
  <cp:revision>1</cp:revision>
  <dcterms:created xsi:type="dcterms:W3CDTF">2026-10-01T14:04:58.706Z</dcterms:created>
  <dcterms:modified xsi:type="dcterms:W3CDTF">2026-10-01T14:04:58.714Z</dcterms:modified>
</cp:coreProperties>
</file>

<file path=docProps/custom.xml><?xml version="1.0" encoding="utf-8"?>
<Properties xmlns="http://schemas.openxmlformats.org/officeDocument/2006/custom-properties" xmlns:vt="http://schemas.openxmlformats.org/officeDocument/2006/docPropsVTypes"/>
</file>