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 w:before="600"/>
      </w:pPr>
      <w:r>
        <w:rPr>
          <w:rFonts w:ascii="Arial" w:cs="Arial" w:eastAsia="Arial" w:hAnsi="Arial"/>
          <w:b/>
          <w:bCs/>
          <w:color w:val="A87C2E"/>
          <w:spacing w:val="40"/>
          <w:sz w:val="20"/>
          <w:szCs w:val="20"/>
        </w:rPr>
        <w:t xml:space="preserve">KIT DE ENTREGA DE GESTIÓN 2026 · GOBIERNOS REGIONALES Y MUNICIPALIDADES</w:t>
      </w:r>
    </w:p>
    <w:p>
      <w:pPr>
        <w:spacing w:after="120"/>
      </w:pPr>
      <w:r>
        <w:rPr>
          <w:rFonts w:ascii="Arial" w:cs="Arial" w:eastAsia="Arial" w:hAnsi="Arial"/>
          <w:b/>
          <w:bCs/>
          <w:color w:val="15233A"/>
          <w:sz w:val="48"/>
          <w:szCs w:val="48"/>
        </w:rPr>
        <w:t xml:space="preserve">Guía para una Entrega Ordenada</w:t>
      </w:r>
    </w:p>
    <w:p>
      <w:pPr>
        <w:pBdr>
          <w:bottom w:val="single" w:color="A87C2E" w:sz="12" w:space="8"/>
        </w:pBdr>
        <w:spacing w:after="360"/>
      </w:pPr>
      <w:r>
        <w:rPr>
          <w:rFonts w:ascii="Arial" w:cs="Arial" w:eastAsia="Arial" w:hAnsi="Arial"/>
          <w:color w:val="0B6E78"/>
          <w:sz w:val="24"/>
          <w:szCs w:val="24"/>
        </w:rPr>
        <w:t xml:space="preserve">Cómo preparar la transferencia de su gobierno regional o municipalidad, cumplir los plazos de ley y dejar una gestión documentada y verificable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9"/>
        <w:gridCol w:w="2409"/>
        <w:gridCol w:w="2410"/>
        <w:gridCol w:w="2410"/>
      </w:tblGrid>
      <w:tr>
        <w:trPr>
          <w:cantSplit/>
          <w:tblHeader w:val="false"/>
        </w:trPr>
        <w:tc>
          <w:tcPr>
            <w:tcW w:type="dxa" w:w="240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E8F3F4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before="40"/>
            </w:pPr>
            <w:r>
              <w:rPr>
                <w:rFonts w:ascii="Arial" w:cs="Arial" w:eastAsia="Arial" w:hAnsi="Arial"/>
                <w:b/>
                <w:bCs/>
                <w:color w:val="0B6E78"/>
                <w:sz w:val="40"/>
                <w:szCs w:val="40"/>
              </w:rPr>
              <w:t xml:space="preserve">46</w:t>
            </w:r>
          </w:p>
        </w:tc>
        <w:tc>
          <w:tcPr>
            <w:tcW w:type="dxa" w:w="240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E8F3F4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before="40"/>
            </w:pPr>
            <w:r>
              <w:rPr>
                <w:rFonts w:ascii="Arial" w:cs="Arial" w:eastAsia="Arial" w:hAnsi="Arial"/>
                <w:b/>
                <w:bCs/>
                <w:color w:val="0B6E78"/>
                <w:sz w:val="40"/>
                <w:szCs w:val="40"/>
              </w:rPr>
              <w:t xml:space="preserve">7</w:t>
            </w:r>
          </w:p>
        </w:tc>
        <w:tc>
          <w:tcPr>
            <w:tcW w:type="dxa" w:w="241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E8F3F4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before="40"/>
            </w:pPr>
            <w:r>
              <w:rPr>
                <w:rFonts w:ascii="Arial" w:cs="Arial" w:eastAsia="Arial" w:hAnsi="Arial"/>
                <w:b/>
                <w:bCs/>
                <w:color w:val="0B6E78"/>
                <w:sz w:val="40"/>
                <w:szCs w:val="40"/>
              </w:rPr>
              <w:t xml:space="preserve">5 días</w:t>
            </w:r>
          </w:p>
        </w:tc>
        <w:tc>
          <w:tcPr>
            <w:tcW w:type="dxa" w:w="241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E8F3F4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before="40"/>
            </w:pPr>
            <w:r>
              <w:rPr>
                <w:rFonts w:ascii="Arial" w:cs="Arial" w:eastAsia="Arial" w:hAnsi="Arial"/>
                <w:b/>
                <w:bCs/>
                <w:color w:val="0B6E78"/>
                <w:sz w:val="40"/>
                <w:szCs w:val="40"/>
              </w:rPr>
              <w:t xml:space="preserve">8 de enero</w:t>
            </w:r>
          </w:p>
        </w:tc>
      </w:tr>
      <w:tr>
        <w:trPr>
          <w:cantSplit/>
          <w:tblHeader w:val="false"/>
        </w:trPr>
        <w:tc>
          <w:tcPr>
            <w:tcW w:type="dxa" w:w="240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entregables que la Comisión le pedirá</w:t>
            </w:r>
          </w:p>
        </w:tc>
        <w:tc>
          <w:tcPr>
            <w:tcW w:type="dxa" w:w="240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categorías: de lo institucional a los sistemas</w:t>
            </w:r>
          </w:p>
        </w:tc>
        <w:tc>
          <w:tcPr>
            <w:tcW w:type="dxa" w:w="241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hábiles después de la proclamación para convocar a la autoridad electa</w:t>
            </w:r>
          </w:p>
        </w:tc>
        <w:tc>
          <w:tcPr>
            <w:tcW w:type="dxa" w:w="241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de 2027: plazo máximo para firmar el acta</w:t>
            </w:r>
          </w:p>
        </w:tc>
      </w:tr>
    </w:tbl>
    <w:p>
      <w:pPr>
        <w:spacing w:after="240"/>
      </w:pPr>
    </w:p>
    <w:p>
      <w:pPr>
        <w:spacing w:after="100" w:line="264"/>
        <w:jc w:val="both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Elaborado por: </w:t>
      </w:r>
      <w:r>
        <w:rPr>
          <w:rFonts w:ascii="Arial" w:cs="Arial" w:eastAsia="Arial" w:hAnsi="Arial"/>
          <w:sz w:val="20"/>
          <w:szCs w:val="20"/>
        </w:rPr>
        <w:t xml:space="preserve">Ing. Santos Jaimes Serkovic, creador de NÚCLEO · Gestión Pública con Inteligencia Artificial.</w:t>
      </w:r>
    </w:p>
    <w:p>
      <w:pPr>
        <w:spacing w:after="100" w:line="264"/>
        <w:jc w:val="both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Distribución: </w:t>
      </w:r>
      <w:r>
        <w:rPr>
          <w:rFonts w:ascii="Arial" w:cs="Arial" w:eastAsia="Arial" w:hAnsi="Arial"/>
          <w:sz w:val="20"/>
          <w:szCs w:val="20"/>
        </w:rPr>
        <w:t xml:space="preserve">gratuita para gobernadores, alcaldes, gerentes, funcionarios y personal permanente de los gobiernos regionales y municipalidades que entregan la gestión 2023–2026.</w:t>
      </w:r>
    </w:p>
    <w:p>
      <w:pPr>
        <w:spacing w:after="100" w:line="264"/>
        <w:jc w:val="both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Contacto: </w:t>
      </w:r>
      <w:r>
        <w:rPr>
          <w:rFonts w:ascii="Arial" w:cs="Arial" w:eastAsia="Arial" w:hAnsi="Arial"/>
          <w:sz w:val="20"/>
          <w:szCs w:val="20"/>
        </w:rPr>
        <w:t xml:space="preserve">nucleo@miespaciodigital.net · nucleo.miespaciodigital.net</w:t>
      </w:r>
    </w:p>
    <w:p>
      <w:pPr>
        <w:spacing w:after="12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single" w:color="A87C2E" w:sz="24"/>
              <w:bottom w:val="none" w:color="FFFFFF" w:sz="0"/>
              <w:right w:val="none" w:color="FFFFFF" w:sz="0"/>
            </w:tcBorders>
            <w:shd w:fill="FBF1E2" w:color="auto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color w:val="A87C2E"/>
                <w:sz w:val="20"/>
                <w:szCs w:val="20"/>
              </w:rPr>
              <w:t xml:space="preserve">Antes de empezar</w:t>
            </w:r>
          </w:p>
          <w:p>
            <w:pPr>
              <w:spacing w:after="40" w:line="252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Esta guía es material de orientación. No reemplaza a la Ley N.° 30204, a su modificatoria la Ley N.° 31771 ni a las directivas de la Contraloría General de la República. Confirme siempre la versión vigente de cada norma y las fechas que fije la Contraloría para 2026.</w:t>
            </w:r>
          </w:p>
          <w:p>
            <w:pPr>
              <w:spacing w:after="40" w:line="252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La lista de 46 entregables es una propuesta de trabajo. Complementa, y no sustituye, el Informe de Rendición de Cuentas y Transferencia que usted registra en el aplicativo oficial de la Contraloría.</w:t>
            </w:r>
          </w:p>
        </w:tc>
      </w:tr>
    </w:tbl>
    <w:p>
      <w:r>
        <w:br w:type="page"/>
      </w:r>
    </w:p>
    <w:p>
      <w:pPr>
        <w:pStyle w:val="Heading1"/>
        <w:keepNext/>
        <w:pBdr>
          <w:bottom w:val="single" w:color="A87C2E" w:sz="8" w:space="3"/>
        </w:pBdr>
        <w:spacing w:after="120" w:before="320"/>
      </w:pPr>
      <w:r>
        <w:rPr>
          <w:rFonts w:ascii="Arial" w:cs="Arial" w:eastAsia="Arial" w:hAnsi="Arial"/>
          <w:b/>
          <w:bCs/>
          <w:color w:val="A87C2E"/>
          <w:sz w:val="26"/>
          <w:szCs w:val="26"/>
        </w:rPr>
        <w:t xml:space="preserve"/>
      </w:r>
      <w:r>
        <w:rPr>
          <w:rFonts w:ascii="Arial" w:cs="Arial" w:eastAsia="Arial" w:hAnsi="Arial"/>
          <w:b/>
          <w:bCs/>
          <w:color w:val="15233A"/>
          <w:sz w:val="26"/>
          <w:szCs w:val="26"/>
        </w:rPr>
        <w:t xml:space="preserve">Contenido</w:t>
      </w:r>
    </w:p>
    <w:p>
      <w:pPr>
        <w:spacing w:after="60"/>
      </w:pPr>
      <w:r>
        <w:rPr>
          <w:rFonts w:ascii="Arial" w:cs="Arial" w:eastAsia="Arial" w:hAnsi="Arial"/>
          <w:sz w:val="20"/>
          <w:szCs w:val="20"/>
        </w:rPr>
        <w:t xml:space="preserve">I. Lo que la ley le pide a la gestión saliente</w:t>
      </w:r>
    </w:p>
    <w:p>
      <w:pPr>
        <w:spacing w:after="60"/>
      </w:pPr>
      <w:r>
        <w:rPr>
          <w:rFonts w:ascii="Arial" w:cs="Arial" w:eastAsia="Arial" w:hAnsi="Arial"/>
          <w:sz w:val="20"/>
          <w:szCs w:val="20"/>
        </w:rPr>
        <w:t xml:space="preserve">II. Plan de preparación, semana a semana</w:t>
      </w:r>
    </w:p>
    <w:p>
      <w:pPr>
        <w:spacing w:after="60"/>
      </w:pPr>
      <w:r>
        <w:rPr>
          <w:rFonts w:ascii="Arial" w:cs="Arial" w:eastAsia="Arial" w:hAnsi="Arial"/>
          <w:sz w:val="20"/>
          <w:szCs w:val="20"/>
        </w:rPr>
        <w:t xml:space="preserve">III. Los 46 entregables que le pedirán</w:t>
      </w:r>
    </w:p>
    <w:p>
      <w:pPr>
        <w:spacing w:after="60"/>
      </w:pPr>
      <w:r>
        <w:rPr>
          <w:rFonts w:ascii="Arial" w:cs="Arial" w:eastAsia="Arial" w:hAnsi="Arial"/>
          <w:sz w:val="20"/>
          <w:szCs w:val="20"/>
        </w:rPr>
        <w:t xml:space="preserve">IV. Autoverificación de bienes e inmuebles</w:t>
      </w:r>
    </w:p>
    <w:p>
      <w:pPr>
        <w:spacing w:after="60"/>
      </w:pPr>
      <w:r>
        <w:rPr>
          <w:rFonts w:ascii="Arial" w:cs="Arial" w:eastAsia="Arial" w:hAnsi="Arial"/>
          <w:sz w:val="20"/>
          <w:szCs w:val="20"/>
        </w:rPr>
        <w:t xml:space="preserve">V. Autocontrol con información pública</w:t>
      </w:r>
    </w:p>
    <w:p>
      <w:pPr>
        <w:spacing w:after="60"/>
      </w:pPr>
      <w:r>
        <w:rPr>
          <w:rFonts w:ascii="Arial" w:cs="Arial" w:eastAsia="Arial" w:hAnsi="Arial"/>
          <w:sz w:val="20"/>
          <w:szCs w:val="20"/>
        </w:rPr>
        <w:t xml:space="preserve">VI. Errores frecuentes que generan observaciones</w:t>
      </w:r>
    </w:p>
    <w:p>
      <w:pPr>
        <w:spacing w:after="60"/>
      </w:pPr>
      <w:r>
        <w:rPr>
          <w:rFonts w:ascii="Arial" w:cs="Arial" w:eastAsia="Arial" w:hAnsi="Arial"/>
          <w:sz w:val="20"/>
          <w:szCs w:val="20"/>
        </w:rPr>
        <w:t xml:space="preserve">VII. Deje su gestión documentada</w:t>
      </w:r>
    </w:p>
    <w:p>
      <w:pPr>
        <w:spacing w:after="60"/>
      </w:pPr>
      <w:r>
        <w:rPr>
          <w:rFonts w:ascii="Arial" w:cs="Arial" w:eastAsia="Arial" w:hAnsi="Arial"/>
          <w:sz w:val="20"/>
          <w:szCs w:val="20"/>
        </w:rPr>
        <w:t xml:space="preserve">Documentos que acompañan esta guía</w:t>
      </w:r>
    </w:p>
    <w:p>
      <w:pPr>
        <w:pStyle w:val="Heading1"/>
        <w:keepNext/>
        <w:pBdr>
          <w:bottom w:val="single" w:color="A87C2E" w:sz="8" w:space="3"/>
        </w:pBdr>
        <w:spacing w:after="120" w:before="320"/>
      </w:pPr>
      <w:r>
        <w:rPr>
          <w:rFonts w:ascii="Arial" w:cs="Arial" w:eastAsia="Arial" w:hAnsi="Arial"/>
          <w:b/>
          <w:bCs/>
          <w:color w:val="A87C2E"/>
          <w:sz w:val="26"/>
          <w:szCs w:val="26"/>
        </w:rPr>
        <w:t xml:space="preserve">I.  </w:t>
      </w:r>
      <w:r>
        <w:rPr>
          <w:rFonts w:ascii="Arial" w:cs="Arial" w:eastAsia="Arial" w:hAnsi="Arial"/>
          <w:b/>
          <w:bCs/>
          <w:color w:val="15233A"/>
          <w:sz w:val="26"/>
          <w:szCs w:val="26"/>
        </w:rPr>
        <w:t xml:space="preserve">Lo que la ley le pide a la gestión saliente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La transferencia no empieza cuando llega la autoridad electa. La ley pone en manos de la autoridad en ejercicio la convocatoria, la presidencia de la Comisión y el informe que se anexa al acta. Una entrega preparada con tiempo protege a quien entrega y a la entidad.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00"/>
        <w:gridCol w:w="4738"/>
        <w:gridCol w:w="2600"/>
      </w:tblGrid>
      <w:tr>
        <w:trPr>
          <w:cantSplit/>
          <w:tblHeader/>
        </w:trPr>
        <w:tc>
          <w:tcPr>
            <w:tcW w:type="dxa" w:w="23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Obligación</w:t>
            </w:r>
          </w:p>
        </w:tc>
        <w:tc>
          <w:tcPr>
            <w:tcW w:type="dxa" w:w="4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Qué debe hacer</w:t>
            </w:r>
          </w:p>
        </w:tc>
        <w:tc>
          <w:tcPr>
            <w:tcW w:type="dxa" w:w="2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Base legal</w:t>
            </w:r>
          </w:p>
        </w:tc>
      </w:tr>
      <w:tr>
        <w:trPr>
          <w:cantSplit/>
          <w:tblHeader w:val="false"/>
        </w:trPr>
        <w:tc>
          <w:tcPr>
            <w:tcW w:type="dxa" w:w="23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Participar bajo responsabilidad</w:t>
            </w:r>
          </w:p>
        </w:tc>
        <w:tc>
          <w:tcPr>
            <w:tcW w:type="dxa" w:w="4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El proceso es obligatorio para la autoridad que cesa, para la autoridad electa y para los integrantes de la Comisión.</w:t>
            </w:r>
          </w:p>
        </w:tc>
        <w:tc>
          <w:tcPr>
            <w:tcW w:type="dxa" w:w="2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Ley N.° 30204, art. 3, modificado por la Ley N.° 31771</w:t>
            </w:r>
          </w:p>
        </w:tc>
      </w:tr>
      <w:tr>
        <w:trPr>
          <w:cantSplit/>
          <w:tblHeader w:val="false"/>
        </w:trPr>
        <w:tc>
          <w:tcPr>
            <w:tcW w:type="dxa" w:w="23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Convocar a la autoridad electa</w:t>
            </w:r>
          </w:p>
        </w:tc>
        <w:tc>
          <w:tcPr>
            <w:tcW w:type="dxa" w:w="4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Dentro de los 5 días hábiles siguientes a la proclamación de resultados.</w:t>
            </w:r>
          </w:p>
        </w:tc>
        <w:tc>
          <w:tcPr>
            <w:tcW w:type="dxa" w:w="2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Ley N.° 30204, art. 4, modificado</w:t>
            </w:r>
          </w:p>
        </w:tc>
      </w:tr>
      <w:tr>
        <w:trPr>
          <w:cantSplit/>
          <w:tblHeader w:val="false"/>
        </w:trPr>
        <w:tc>
          <w:tcPr>
            <w:tcW w:type="dxa" w:w="23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Presidir la Comisión</w:t>
            </w:r>
          </w:p>
        </w:tc>
        <w:tc>
          <w:tcPr>
            <w:tcW w:type="dxa" w:w="4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La autoridad en ejercicio la preside y designa a dos representantes, uno de ellos el gerente general regional o el gerente municipal.</w:t>
            </w:r>
          </w:p>
        </w:tc>
        <w:tc>
          <w:tcPr>
            <w:tcW w:type="dxa" w:w="2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Ley N.° 30204, art. 5, modificado</w:t>
            </w:r>
          </w:p>
        </w:tc>
      </w:tr>
      <w:tr>
        <w:trPr>
          <w:cantSplit/>
          <w:tblHeader w:val="false"/>
        </w:trPr>
        <w:tc>
          <w:tcPr>
            <w:tcW w:type="dxa" w:w="23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Instalar el Equipo de Transferencia del Titular Saliente (ETTS)</w:t>
            </w:r>
          </w:p>
        </w:tc>
        <w:tc>
          <w:tcPr>
            <w:tcW w:type="dxa" w:w="4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Por acta, con al menos tres servidores; lo coordina el gerente general regional o el gerente municipal. La Contraloría pidió instalarlo hasta el 31 de julio de 2026 y solicitar el acceso al aplicativo RC-TG. Si su entidad aún no lo hizo, hágalo de inmediato.</w:t>
            </w:r>
          </w:p>
        </w:tc>
        <w:tc>
          <w:tcPr>
            <w:tcW w:type="dxa" w:w="2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Directiva N.° 016-2022-CG/PREVI, modificada por la Res. N.° 344-2026-CG</w:t>
            </w:r>
          </w:p>
        </w:tc>
      </w:tr>
      <w:tr>
        <w:trPr>
          <w:cantSplit/>
          <w:tblHeader w:val="false"/>
        </w:trPr>
        <w:tc>
          <w:tcPr>
            <w:tcW w:type="dxa" w:w="23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Rendir cuentas</w:t>
            </w:r>
          </w:p>
        </w:tc>
        <w:tc>
          <w:tcPr>
            <w:tcW w:type="dxa" w:w="4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El ETTS elabora el Informe de Rendición de Cuentas y Transferencia y lo registra en el aplicativo RC-TG de la Contraloría, en los plazos que esta fije.</w:t>
            </w:r>
          </w:p>
        </w:tc>
        <w:tc>
          <w:tcPr>
            <w:tcW w:type="dxa" w:w="2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Directiva N.° 016-2022-CG/PREVI, modificada</w:t>
            </w:r>
          </w:p>
        </w:tc>
      </w:tr>
      <w:tr>
        <w:trPr>
          <w:cantSplit/>
          <w:tblHeader w:val="false"/>
        </w:trPr>
        <w:tc>
          <w:tcPr>
            <w:tcW w:type="dxa" w:w="23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Firmar el acta</w:t>
            </w:r>
          </w:p>
        </w:tc>
        <w:tc>
          <w:tcPr>
            <w:tcW w:type="dxa" w:w="4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 más tardar el quinto día hábil de la nueva gestión: el 8 de enero de 2027. Al acta se anexa el último Informe de Rendición de Cuentas y Transferencia.</w:t>
            </w:r>
          </w:p>
        </w:tc>
        <w:tc>
          <w:tcPr>
            <w:tcW w:type="dxa" w:w="2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Ley N.° 30204, art. 4, modificado</w:t>
            </w:r>
          </w:p>
        </w:tc>
      </w:tr>
    </w:tbl>
    <w:p>
      <w:pPr>
        <w:spacing w:after="120"/>
      </w:pPr>
    </w:p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1.1 En un gobierno regional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19"/>
        <w:gridCol w:w="4819"/>
      </w:tblGrid>
      <w:tr>
        <w:trPr>
          <w:cantSplit/>
          <w:tblHeader/>
        </w:trPr>
        <w:tc>
          <w:tcPr>
            <w:tcW w:type="dxa" w:w="481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 una municipalidad</w:t>
            </w:r>
          </w:p>
        </w:tc>
        <w:tc>
          <w:tcPr>
            <w:tcW w:type="dxa" w:w="481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 un gobierno regional</w:t>
            </w:r>
          </w:p>
        </w:tc>
      </w:tr>
      <w:tr>
        <w:trPr>
          <w:cantSplit/>
          <w:tblHeader w:val="false"/>
        </w:trPr>
        <w:tc>
          <w:tcPr>
            <w:tcW w:type="dxa" w:w="481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Alcalde o alcaldesa</w:t>
            </w:r>
          </w:p>
        </w:tc>
        <w:tc>
          <w:tcPr>
            <w:tcW w:type="dxa" w:w="481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Gobernador o gobernadora regional</w:t>
            </w:r>
          </w:p>
        </w:tc>
      </w:tr>
      <w:tr>
        <w:trPr>
          <w:cantSplit/>
          <w:tblHeader w:val="false"/>
        </w:trPr>
        <w:tc>
          <w:tcPr>
            <w:tcW w:type="dxa" w:w="481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Teniente alcalde y regidores</w:t>
            </w:r>
          </w:p>
        </w:tc>
        <w:tc>
          <w:tcPr>
            <w:tcW w:type="dxa" w:w="481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Vicegobernador y consejeros regionales</w:t>
            </w:r>
          </w:p>
        </w:tc>
      </w:tr>
      <w:tr>
        <w:trPr>
          <w:cantSplit/>
          <w:tblHeader w:val="false"/>
        </w:trPr>
        <w:tc>
          <w:tcPr>
            <w:tcW w:type="dxa" w:w="481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Concejo municipal</w:t>
            </w:r>
          </w:p>
        </w:tc>
        <w:tc>
          <w:tcPr>
            <w:tcW w:type="dxa" w:w="481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Consejo regional</w:t>
            </w:r>
          </w:p>
        </w:tc>
      </w:tr>
      <w:tr>
        <w:trPr>
          <w:cantSplit/>
          <w:tblHeader w:val="false"/>
        </w:trPr>
        <w:tc>
          <w:tcPr>
            <w:tcW w:type="dxa" w:w="481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Gerente municipal</w:t>
            </w:r>
          </w:p>
        </w:tc>
        <w:tc>
          <w:tcPr>
            <w:tcW w:type="dxa" w:w="481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Gerente general regional</w:t>
            </w:r>
          </w:p>
        </w:tc>
      </w:tr>
      <w:tr>
        <w:trPr>
          <w:cantSplit/>
          <w:tblHeader w:val="false"/>
        </w:trPr>
        <w:tc>
          <w:tcPr>
            <w:tcW w:type="dxa" w:w="481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Gerencias municipales</w:t>
            </w:r>
          </w:p>
        </w:tc>
        <w:tc>
          <w:tcPr>
            <w:tcW w:type="dxa" w:w="481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Gerencias regionales, direcciones regionales sectoriales, proyectos especiales y unidades ejecutoras</w:t>
            </w:r>
          </w:p>
        </w:tc>
      </w:tr>
    </w:tbl>
    <w:p>
      <w:pPr>
        <w:pStyle w:val="Heading1"/>
        <w:keepNext/>
        <w:pBdr>
          <w:bottom w:val="single" w:color="A87C2E" w:sz="8" w:space="3"/>
        </w:pBdr>
        <w:spacing w:after="120" w:before="320"/>
      </w:pPr>
      <w:r>
        <w:rPr>
          <w:rFonts w:ascii="Arial" w:cs="Arial" w:eastAsia="Arial" w:hAnsi="Arial"/>
          <w:b/>
          <w:bCs/>
          <w:color w:val="A87C2E"/>
          <w:sz w:val="26"/>
          <w:szCs w:val="26"/>
        </w:rPr>
        <w:t xml:space="preserve">II.  </w:t>
      </w:r>
      <w:r>
        <w:rPr>
          <w:rFonts w:ascii="Arial" w:cs="Arial" w:eastAsia="Arial" w:hAnsi="Arial"/>
          <w:b/>
          <w:bCs/>
          <w:color w:val="15233A"/>
          <w:sz w:val="26"/>
          <w:szCs w:val="26"/>
        </w:rPr>
        <w:t xml:space="preserve">Plan de preparación, semana a semana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Fechas sugeridas a partir de la primera semana de octubre. Las que fija la ley están marcadas como tales.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4738"/>
        <w:gridCol w:w="2500"/>
      </w:tblGrid>
      <w:tr>
        <w:trPr>
          <w:cantSplit/>
          <w:tblHeader/>
        </w:trPr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Cuándo</w:t>
            </w:r>
          </w:p>
        </w:tc>
        <w:tc>
          <w:tcPr>
            <w:tcW w:type="dxa" w:w="4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Qué hacer</w:t>
            </w:r>
          </w:p>
        </w:tc>
        <w:tc>
          <w:tcPr>
            <w:tcW w:type="dxa" w:w="2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Documento del kit</w:t>
            </w:r>
          </w:p>
        </w:tc>
      </w:tr>
      <w:tr>
        <w:trPr>
          <w:cantSplit/>
          <w:tblHeader w:val="false"/>
        </w:trPr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Semana del 5 de octubre</w:t>
            </w:r>
          </w:p>
        </w:tc>
        <w:tc>
          <w:tcPr>
            <w:tcW w:type="dxa" w:w="4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Confirmar que el ETTS esté instalado y tenga acceso al aplicativo RC-TG (si no, instalarlo de inmediato). Asignar un responsable a cada uno de los 46 entregables.</w:t>
            </w:r>
          </w:p>
        </w:tc>
        <w:tc>
          <w:tcPr>
            <w:tcW w:type="dxa" w:w="2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Memorando interno a las áreas</w:t>
            </w:r>
          </w:p>
        </w:tc>
      </w:tr>
      <w:tr>
        <w:trPr>
          <w:cantSplit/>
          <w:tblHeader w:val="false"/>
        </w:trPr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12 al 23 de octubre</w:t>
            </w:r>
          </w:p>
        </w:tc>
        <w:tc>
          <w:tcPr>
            <w:tcW w:type="dxa" w:w="4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Cada área reúne, digitaliza y ordena su información. Autoevaluación de los 46 entregables.</w:t>
            </w:r>
          </w:p>
        </w:tc>
        <w:tc>
          <w:tcPr>
            <w:tcW w:type="dxa" w:w="2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Checklist 0: autoevaluación</w:t>
            </w:r>
          </w:p>
        </w:tc>
      </w:tr>
      <w:tr>
        <w:trPr>
          <w:cantSplit/>
          <w:tblHeader w:val="false"/>
        </w:trPr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26 de octubre al 6 de noviembre</w:t>
            </w:r>
          </w:p>
        </w:tc>
        <w:tc>
          <w:tcPr>
            <w:tcW w:type="dxa" w:w="4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Verificar bienes e inmuebles, conciliar el presupuesto con el SIAF y revisar el avance de obras en Infobras. Corregir lo que falte.</w:t>
            </w:r>
          </w:p>
        </w:tc>
        <w:tc>
          <w:tcPr>
            <w:tcW w:type="dxa" w:w="2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Checklists 1, 2 y 3</w:t>
            </w:r>
          </w:p>
        </w:tc>
      </w:tr>
      <w:tr>
        <w:trPr>
          <w:cantSplit/>
          <w:tblHeader w:val="false"/>
        </w:trPr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Proclamación (por ley)</w:t>
            </w:r>
          </w:p>
        </w:tc>
        <w:tc>
          <w:tcPr>
            <w:tcW w:type="dxa" w:w="4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Convocar a la autoridad electa dentro de los 5 días hábiles e instalar la Comisión.</w:t>
            </w:r>
          </w:p>
        </w:tc>
        <w:tc>
          <w:tcPr>
            <w:tcW w:type="dxa" w:w="2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Oficio de convocatoria y Acta de instalación</w:t>
            </w:r>
          </w:p>
        </w:tc>
      </w:tr>
      <w:tr>
        <w:trPr>
          <w:cantSplit/>
          <w:tblHeader w:val="false"/>
        </w:trPr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Noviembre</w:t>
            </w:r>
          </w:p>
        </w:tc>
        <w:tc>
          <w:tcPr>
            <w:tcW w:type="dxa" w:w="4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Entregar la información a la Comisión y atender sus observaciones.</w:t>
            </w:r>
          </w:p>
        </w:tc>
        <w:tc>
          <w:tcPr>
            <w:tcW w:type="dxa" w:w="2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Anexo de entregables</w:t>
            </w:r>
          </w:p>
        </w:tc>
      </w:tr>
      <w:tr>
        <w:trPr>
          <w:cantSplit/>
          <w:tblHeader w:val="false"/>
        </w:trPr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Fecha de corte de la Contraloría</w:t>
            </w:r>
          </w:p>
        </w:tc>
        <w:tc>
          <w:tcPr>
            <w:tcW w:type="dxa" w:w="4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Elaborar y registrar el Informe de Rendición de Cuentas y Transferencia en el aplicativo.</w:t>
            </w:r>
          </w:p>
        </w:tc>
        <w:tc>
          <w:tcPr>
            <w:tcW w:type="dxa" w:w="2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Aplicativo de la Contraloría</w:t>
            </w:r>
          </w:p>
        </w:tc>
      </w:tr>
      <w:tr>
        <w:trPr>
          <w:cantSplit/>
          <w:tblHeader w:val="false"/>
        </w:trPr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Hasta el 8 de enero de 2027 (por ley)</w:t>
            </w:r>
          </w:p>
        </w:tc>
        <w:tc>
          <w:tcPr>
            <w:tcW w:type="dxa" w:w="4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Firmar el acta de transferencia con sus anexos.</w:t>
            </w:r>
          </w:p>
        </w:tc>
        <w:tc>
          <w:tcPr>
            <w:tcW w:type="dxa" w:w="2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Acta de transferencia</w:t>
            </w:r>
          </w:p>
        </w:tc>
      </w:tr>
    </w:tbl>
    <w:p>
      <w:r>
        <w:br w:type="page"/>
      </w:r>
    </w:p>
    <w:p>
      <w:pPr>
        <w:pStyle w:val="Heading1"/>
        <w:keepNext/>
        <w:pBdr>
          <w:bottom w:val="single" w:color="A87C2E" w:sz="8" w:space="3"/>
        </w:pBdr>
        <w:spacing w:after="120" w:before="320"/>
      </w:pPr>
      <w:r>
        <w:rPr>
          <w:rFonts w:ascii="Arial" w:cs="Arial" w:eastAsia="Arial" w:hAnsi="Arial"/>
          <w:b/>
          <w:bCs/>
          <w:color w:val="A87C2E"/>
          <w:sz w:val="26"/>
          <w:szCs w:val="26"/>
        </w:rPr>
        <w:t xml:space="preserve">III.  </w:t>
      </w:r>
      <w:r>
        <w:rPr>
          <w:rFonts w:ascii="Arial" w:cs="Arial" w:eastAsia="Arial" w:hAnsi="Arial"/>
          <w:b/>
          <w:bCs/>
          <w:color w:val="15233A"/>
          <w:sz w:val="26"/>
          <w:szCs w:val="26"/>
        </w:rPr>
        <w:t xml:space="preserve">Los 46 entregables que le pedirán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Esta es la información que una Comisión bien organizada solicitará. Prepárela en formato digital (PDF con texto buscable y, si contiene datos, también en Excel), con el nombre [ENTIDAD]_[CÓDIGO]_[DESCRIPCIÓN]_[AAAAMMDD].pdf. La última columna indica dónde la verificará el equipo entrante.</w:t>
      </w:r>
    </w:p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A. Información institucional y de gestión (8)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4938"/>
        <w:gridCol w:w="1700"/>
        <w:gridCol w:w="21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Formato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Dónde lo verificarán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A-01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Informe de rendición de cuentas y transferencia del titular saliente, registrado en el aplicativo de la Contraloría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firmado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Aplicativo RC-TG de la Contraloría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A-02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ROF, organigrama y Cuadro para Asignación de Personal (CAP o CAP Provisional) vigentes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Ordenanzas publicadas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A-03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Plan de Desarrollo Regional o Local Concertado, PEI y POI vigentes, con su última evaluación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CEPLAN, aplicativo CEPLAN V.01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A-04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Resultados al cierre de la gestión: metas del POI frente a lo ejecutado e indicadores del PEI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CEPLAN y Consulta Amigable del MEF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A-05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Asuntos de atención prioritaria para la nueva gestión, incluidos conflictos sociales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Verificación directa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A-06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TUPA y TUSNE vigentes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Plataforma gob.pe y portal institucional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A-07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Ordenanzas, acuerdos de consejo regional o de concejo municipal y decretos emitidos en el período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índice Excel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Libro de actas y diario oficial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A-08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Recomendaciones del OCI y de la Contraloría pendientes de implementar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OCI y Contraloría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B. Presupuesto, finanzas e ingresos (8)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4938"/>
        <w:gridCol w:w="1700"/>
        <w:gridCol w:w="21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Formato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Dónde lo verificarán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B-01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Presupuesto Institucional de Apertura (PIA) y Modificado (PIM) 2026, por fuente de financiamiento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SIAF y Consulta Amigable del MEF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B-02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Ejecución presupuestal a la fecha de corte, por genérica de gasto y meta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certificado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SIAF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B-03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Compromisos y devengados pendientes de pago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SIAF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B-04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Transferencias recibidas (FONCOMUN, canon, programas e incentivos, convenios) y su ejecución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SIAF y Consulta Amigable del MEF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B-05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Estados financieros, saldos de cuentas bancarias y conciliaciones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firmado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Contabilidad y Tesorería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B-06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Arqueo de caja chica y fondos fijos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firmado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Tesorería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B-07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Deudas con proveedores, contratistas, SUNAT, EsSalud, AFP y por sentencias judiciales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SIAF, SEACE y Procuraduría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B-08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Ingresos propios y cuentas por cobrar: en municipalidades, predial, arbitrios, licencias y multas; en gobiernos regionales, tasas y derechos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Sistema de rentas o de recaudación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C. Bienes, inmuebles y almacenes (7)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4938"/>
        <w:gridCol w:w="1700"/>
        <w:gridCol w:w="21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Formato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Dónde lo verificarán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C-01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Inventario físico de bienes muebles con código, estado y ubicación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SIGA y SBN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C-02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Inmuebles con partida registral, saneamiento físico legal, área y uso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planos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SUNARP y SBN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C-03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Vehículos y maquinaria pesada: placa, año, estado, asignación y consumo de combustible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fotos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SUNARP y SIGA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C-04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Equipos informáticos y de comunicaciones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SIGA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C-05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Almacén: existencias de materiales e insumos, incluidos los de programas sociales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SIGA Logística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C-06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Bienes faltantes, sobrantes o en proceso de baja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SBN y OCI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C-07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Bienes cedidos, recibidos en comodato o arrendados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contratos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Administración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D. Contratos, obras, inversiones y servicios (8)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4938"/>
        <w:gridCol w:w="1700"/>
        <w:gridCol w:w="21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Formato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Dónde lo verificarán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D-01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Contratos de bienes y servicios vigentes con su estado de ejecución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SEACE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D-02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Obras en ejecución con avance físico y financiero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cronograma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SEACE e Infobras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D-03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Obras paralizadas, en arbitraje o con controversias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Infobras y Procuraduría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D-04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Cartera de inversiones: Programa Multianual, inversiones viables y expedientes técnicos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Banco de Inversiones (Invierte.pe)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D-05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Convenios vigentes con otros niveles de gobierno, otras entidades y la cooperación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Secretaría General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D-06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Procesos de selección en curso, desiertos o por convocar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SEACE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D-07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Programas sociales y sus padrones: en municipalidades, Vaso de Leche, complementación alimentaria, DEMUNA, OMAPED y CIAM; en gobiernos regionales, los programas a su cargo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Padrones de beneficiarios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D-08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Servicios y unidades operativas: en municipalidades, limpieza pública, mercados, camal y agua; en gobiernos regionales, direcciones regionales sectoriales, proyectos especiales y unidades ejecutoras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Gerencias de línea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E. Personal (5)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4938"/>
        <w:gridCol w:w="1700"/>
        <w:gridCol w:w="21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Formato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Dónde lo verificarán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E-01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Planilla por régimen laboral (D. L. 276, D. L. 728, CAS y Ley del Servicio Civil)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AIRHSP del MEF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E-02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Personal de confianza y directivo, con sus legajos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Recursos Humanos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E-03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Contratos CAS vigentes, fechas de vencimiento y contratos a plazo indeterminado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AIRHSP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E-04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Procedimientos administrativos disciplinarios en curso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Secretaría Técnica de PAD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E-05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Vacaciones pendientes, beneficios sociales adeudados y convenios colectivos vigentes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Recursos Humanos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F. Archivo y asuntos legales (4)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4938"/>
        <w:gridCol w:w="1700"/>
        <w:gridCol w:w="21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Formato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Dónde lo verificarán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F-01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Inventario del archivo de gestión y del archivo central, por series documentales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Archivo General de la Nación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F-02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Expedientes técnicos y liquidaciones de obras e inversiones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escaneado + original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Archivo y área de infraestructura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F-03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Libros de actas de sesiones del concejo municipal o del consejo regional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Original + PDF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Secretaría General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F-04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Procesos judiciales, arbitrales y administrativos, con su riesgo económico estimado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Procuraduría Pública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G. Sistemas, accesos y tecnología (6)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4938"/>
        <w:gridCol w:w="1700"/>
        <w:gridCol w:w="21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Formato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Dónde lo verificarán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G-01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Usuarios y perfiles activos en el SIAF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firmado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MEF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G-02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Usuarios y perfiles activos en el SIGA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firmado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MEF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G-03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Usuarios y certificados del SEACE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firmado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SEACE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G-04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Usuarios del Banco de Inversiones (Invierte.pe)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firmado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MEF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G-05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Administración del portal de transparencia, página en gob.pe, redes sociales, dominios y correos institucionales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Oficina de Tecnologías de la Información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G-06</w:t>
            </w:r>
          </w:p>
        </w:tc>
        <w:tc>
          <w:tcPr>
            <w:tcW w:type="dxa" w:w="49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Infraestructura tecnológica: servidores, copias de respaldo, licencias, sistema de rentas y de trámite documentario</w:t>
            </w:r>
          </w:p>
        </w:tc>
        <w:tc>
          <w:tcPr>
            <w:tcW w:type="dxa" w:w="1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técnico</w:t>
            </w:r>
          </w:p>
        </w:tc>
        <w:tc>
          <w:tcPr>
            <w:tcW w:type="dxa" w:w="21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Oficina de Tecnologías de la Información</w:t>
            </w:r>
          </w:p>
        </w:tc>
      </w:tr>
    </w:tbl>
    <w:p>
      <w:pPr>
        <w:pStyle w:val="Heading1"/>
        <w:keepNext/>
        <w:pBdr>
          <w:bottom w:val="single" w:color="A87C2E" w:sz="8" w:space="3"/>
        </w:pBdr>
        <w:spacing w:after="120" w:before="320"/>
      </w:pPr>
      <w:r>
        <w:rPr>
          <w:rFonts w:ascii="Arial" w:cs="Arial" w:eastAsia="Arial" w:hAnsi="Arial"/>
          <w:b/>
          <w:bCs/>
          <w:color w:val="A87C2E"/>
          <w:sz w:val="26"/>
          <w:szCs w:val="26"/>
        </w:rPr>
        <w:t xml:space="preserve">IV.  </w:t>
      </w:r>
      <w:r>
        <w:rPr>
          <w:rFonts w:ascii="Arial" w:cs="Arial" w:eastAsia="Arial" w:hAnsi="Arial"/>
          <w:b/>
          <w:bCs/>
          <w:color w:val="15233A"/>
          <w:sz w:val="26"/>
          <w:szCs w:val="26"/>
        </w:rPr>
        <w:t xml:space="preserve">Autoverificación de bienes e inmuebles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El equipo entrante verificará cada bien en tres niveles. Hágalo usted primero: un faltante que usted detecta, documenta y explica pesa mucho menos en el acta que uno que descubre la Comisión.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00"/>
        <w:gridCol w:w="5338"/>
        <w:gridCol w:w="2500"/>
      </w:tblGrid>
      <w:tr>
        <w:trPr>
          <w:cantSplit/>
          <w:tblHeader/>
        </w:trPr>
        <w:tc>
          <w:tcPr>
            <w:tcW w:type="dxa" w:w="18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Nivel</w:t>
            </w:r>
          </w:p>
        </w:tc>
        <w:tc>
          <w:tcPr>
            <w:tcW w:type="dxa" w:w="53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Qué verificar</w:t>
            </w:r>
          </w:p>
        </w:tc>
        <w:tc>
          <w:tcPr>
            <w:tcW w:type="dxa" w:w="2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Herramienta</w:t>
            </w:r>
          </w:p>
        </w:tc>
      </w:tr>
      <w:tr>
        <w:trPr>
          <w:cantSplit/>
          <w:tblHeader w:val="false"/>
        </w:trPr>
        <w:tc>
          <w:tcPr>
            <w:tcW w:type="dxa" w:w="18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1. Documental</w:t>
            </w:r>
          </w:p>
        </w:tc>
        <w:tc>
          <w:tcPr>
            <w:tcW w:type="dxa" w:w="53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Que el inventario coincida con el SIGA y con el registro de la SBN</w:t>
            </w:r>
          </w:p>
        </w:tc>
        <w:tc>
          <w:tcPr>
            <w:tcW w:type="dxa" w:w="2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Excel y PDF</w:t>
            </w:r>
          </w:p>
        </w:tc>
      </w:tr>
      <w:tr>
        <w:trPr>
          <w:cantSplit/>
          <w:tblHeader w:val="false"/>
        </w:trPr>
        <w:tc>
          <w:tcPr>
            <w:tcW w:type="dxa" w:w="18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2. Físico</w:t>
            </w:r>
          </w:p>
        </w:tc>
        <w:tc>
          <w:tcPr>
            <w:tcW w:type="dxa" w:w="53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Que cada bien esté donde dice el inventario, con foto geolocalizada</w:t>
            </w:r>
          </w:p>
        </w:tc>
        <w:tc>
          <w:tcPr>
            <w:tcW w:type="dxa" w:w="2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Formulario y celular</w:t>
            </w:r>
          </w:p>
        </w:tc>
      </w:tr>
      <w:tr>
        <w:trPr>
          <w:cantSplit/>
          <w:tblHeader w:val="false"/>
        </w:trPr>
        <w:tc>
          <w:tcPr>
            <w:tcW w:type="dxa" w:w="18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3. Registral</w:t>
            </w:r>
          </w:p>
        </w:tc>
        <w:tc>
          <w:tcPr>
            <w:tcW w:type="dxa" w:w="53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Que inmuebles y vehículos tengan partida en SUNARP y sin cargas no declaradas</w:t>
            </w:r>
          </w:p>
        </w:tc>
        <w:tc>
          <w:tcPr>
            <w:tcW w:type="dxa" w:w="2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Consulta en línea de SUNARP</w:t>
            </w:r>
          </w:p>
        </w:tc>
      </w:tr>
    </w:tbl>
    <w:p>
      <w:pPr>
        <w:spacing w:after="12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00"/>
        <w:gridCol w:w="4069"/>
        <w:gridCol w:w="4069"/>
      </w:tblGrid>
      <w:tr>
        <w:trPr>
          <w:cantSplit/>
          <w:tblHeader/>
        </w:trPr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Color</w:t>
            </w:r>
          </w:p>
        </w:tc>
        <w:tc>
          <w:tcPr>
            <w:tcW w:type="dxa" w:w="406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Situación</w:t>
            </w:r>
          </w:p>
        </w:tc>
        <w:tc>
          <w:tcPr>
            <w:tcW w:type="dxa" w:w="406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Qué hacer antes de entregar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D7F0E0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VERDE</w:t>
            </w:r>
          </w:p>
        </w:tc>
        <w:tc>
          <w:tcPr>
            <w:tcW w:type="dxa" w:w="406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Documentado, ubicado y registrado.</w:t>
            </w:r>
          </w:p>
        </w:tc>
        <w:tc>
          <w:tcPr>
            <w:tcW w:type="dxa" w:w="406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Listo para entregar.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BEFC7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AMARILLO</w:t>
            </w:r>
          </w:p>
        </w:tc>
        <w:tc>
          <w:tcPr>
            <w:tcW w:type="dxa" w:w="406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Falta título, partida, valuación o algún documento.</w:t>
            </w:r>
          </w:p>
        </w:tc>
        <w:tc>
          <w:tcPr>
            <w:tcW w:type="dxa" w:w="406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Completar el documento o explicar por escrito por qué falta.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8D4D0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ROJO</w:t>
            </w:r>
          </w:p>
        </w:tc>
        <w:tc>
          <w:tcPr>
            <w:tcW w:type="dxa" w:w="406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Declarado pero no encontrado, o sin respaldo registral.</w:t>
            </w:r>
          </w:p>
        </w:tc>
        <w:tc>
          <w:tcPr>
            <w:tcW w:type="dxa" w:w="406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Buscarlo, documentar lo ocurrido y, si corresponde, comunicarlo al OCI.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D5D8DD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NEGRO</w:t>
            </w:r>
          </w:p>
        </w:tc>
        <w:tc>
          <w:tcPr>
            <w:tcW w:type="dxa" w:w="406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Faltante, destruido o transferido de forma irregular.</w:t>
            </w:r>
          </w:p>
        </w:tc>
        <w:tc>
          <w:tcPr>
            <w:tcW w:type="dxa" w:w="4069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Comunicarlo al OCI y a la asesoría legal, y dejar constancia en el informe.</w:t>
            </w:r>
          </w:p>
        </w:tc>
      </w:tr>
    </w:tbl>
    <w:p>
      <w:pPr>
        <w:pStyle w:val="Heading1"/>
        <w:keepNext/>
        <w:pBdr>
          <w:bottom w:val="single" w:color="A87C2E" w:sz="8" w:space="3"/>
        </w:pBdr>
        <w:spacing w:after="120" w:before="320"/>
      </w:pPr>
      <w:r>
        <w:rPr>
          <w:rFonts w:ascii="Arial" w:cs="Arial" w:eastAsia="Arial" w:hAnsi="Arial"/>
          <w:b/>
          <w:bCs/>
          <w:color w:val="A87C2E"/>
          <w:sz w:val="26"/>
          <w:szCs w:val="26"/>
        </w:rPr>
        <w:t xml:space="preserve">V.  </w:t>
      </w:r>
      <w:r>
        <w:rPr>
          <w:rFonts w:ascii="Arial" w:cs="Arial" w:eastAsia="Arial" w:hAnsi="Arial"/>
          <w:b/>
          <w:bCs/>
          <w:color w:val="15233A"/>
          <w:sz w:val="26"/>
          <w:szCs w:val="26"/>
        </w:rPr>
        <w:t xml:space="preserve">Autocontrol con información pública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El equipo de la autoridad electa puede revisar desde el primer día la información pública de su entidad. Adelántese: haga usted los mismos cruces y corrija las diferencias antes de entregar.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00"/>
        <w:gridCol w:w="2400"/>
        <w:gridCol w:w="2700"/>
        <w:gridCol w:w="3038"/>
      </w:tblGrid>
      <w:tr>
        <w:trPr>
          <w:cantSplit/>
          <w:tblHeader/>
        </w:trPr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Cruce</w:t>
            </w:r>
          </w:p>
        </w:tc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Lo que usted entregará</w:t>
            </w:r>
          </w:p>
        </w:tc>
        <w:tc>
          <w:tcPr>
            <w:tcW w:type="dxa" w:w="2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Se compara con</w:t>
            </w:r>
          </w:p>
        </w:tc>
        <w:tc>
          <w:tcPr>
            <w:tcW w:type="dxa" w:w="3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Revise que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1. Presupuesto</w:t>
            </w:r>
          </w:p>
        </w:tc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PIM y ejecución</w:t>
            </w:r>
          </w:p>
        </w:tc>
        <w:tc>
          <w:tcPr>
            <w:tcW w:type="dxa" w:w="2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Consulta Amigable del MEF</w:t>
            </w:r>
          </w:p>
        </w:tc>
        <w:tc>
          <w:tcPr>
            <w:tcW w:type="dxa" w:w="3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La diferencia no supere el 5%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2. Personal</w:t>
            </w:r>
          </w:p>
        </w:tc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Planilla</w:t>
            </w:r>
          </w:p>
        </w:tc>
        <w:tc>
          <w:tcPr>
            <w:tcW w:type="dxa" w:w="2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AIRHSP</w:t>
            </w:r>
          </w:p>
        </w:tc>
        <w:tc>
          <w:tcPr>
            <w:tcW w:type="dxa" w:w="3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Todas las personas en planilla figuren en el registro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3. Contratos</w:t>
            </w:r>
          </w:p>
        </w:tc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Relación de contratos</w:t>
            </w:r>
          </w:p>
        </w:tc>
        <w:tc>
          <w:tcPr>
            <w:tcW w:type="dxa" w:w="2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SEACE</w:t>
            </w:r>
          </w:p>
        </w:tc>
        <w:tc>
          <w:tcPr>
            <w:tcW w:type="dxa" w:w="3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Todos estén registrados y con el mismo monto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4. Bienes</w:t>
            </w:r>
          </w:p>
        </w:tc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Inventario</w:t>
            </w:r>
          </w:p>
        </w:tc>
        <w:tc>
          <w:tcPr>
            <w:tcW w:type="dxa" w:w="2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SIGA</w:t>
            </w:r>
          </w:p>
        </w:tc>
        <w:tc>
          <w:tcPr>
            <w:tcW w:type="dxa" w:w="3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Coincidan ambos registros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5. Inmuebles</w:t>
            </w:r>
          </w:p>
        </w:tc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Fichas de inmuebles</w:t>
            </w:r>
          </w:p>
        </w:tc>
        <w:tc>
          <w:tcPr>
            <w:tcW w:type="dxa" w:w="2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SUNARP</w:t>
            </w:r>
          </w:p>
        </w:tc>
        <w:tc>
          <w:tcPr>
            <w:tcW w:type="dxa" w:w="3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Tengan partida y se declaren sus cargas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6. Obras</w:t>
            </w:r>
          </w:p>
        </w:tc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Avance de obras</w:t>
            </w:r>
          </w:p>
        </w:tc>
        <w:tc>
          <w:tcPr>
            <w:tcW w:type="dxa" w:w="2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Infobras y Banco de Inversiones</w:t>
            </w:r>
          </w:p>
        </w:tc>
        <w:tc>
          <w:tcPr>
            <w:tcW w:type="dxa" w:w="3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El avance declarado coincida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7. Deudas</w:t>
            </w:r>
          </w:p>
        </w:tc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Deudas</w:t>
            </w:r>
          </w:p>
        </w:tc>
        <w:tc>
          <w:tcPr>
            <w:tcW w:type="dxa" w:w="2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Compromisos y devengados del SIAF</w:t>
            </w:r>
          </w:p>
        </w:tc>
        <w:tc>
          <w:tcPr>
            <w:tcW w:type="dxa" w:w="3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Estén todas declaradas</w:t>
            </w:r>
          </w:p>
        </w:tc>
      </w:tr>
    </w:tbl>
    <w:p>
      <w:pPr>
        <w:pStyle w:val="Heading1"/>
        <w:keepNext/>
        <w:pBdr>
          <w:bottom w:val="single" w:color="A87C2E" w:sz="8" w:space="3"/>
        </w:pBdr>
        <w:spacing w:after="120" w:before="320"/>
      </w:pPr>
      <w:r>
        <w:rPr>
          <w:rFonts w:ascii="Arial" w:cs="Arial" w:eastAsia="Arial" w:hAnsi="Arial"/>
          <w:b/>
          <w:bCs/>
          <w:color w:val="A87C2E"/>
          <w:sz w:val="26"/>
          <w:szCs w:val="26"/>
        </w:rPr>
        <w:t xml:space="preserve">VI.  </w:t>
      </w:r>
      <w:r>
        <w:rPr>
          <w:rFonts w:ascii="Arial" w:cs="Arial" w:eastAsia="Arial" w:hAnsi="Arial"/>
          <w:b/>
          <w:bCs/>
          <w:color w:val="15233A"/>
          <w:sz w:val="26"/>
          <w:szCs w:val="26"/>
        </w:rPr>
        <w:t xml:space="preserve">Errores frecuentes que generan observaciones</w:t>
      </w:r>
    </w:p>
    <w:p>
      <w:pPr>
        <w:pStyle w:val="ListParagraph"/>
        <w:numPr>
          <w:ilvl w:val="0"/>
          <w:numId w:val="2"/>
        </w:numPr>
        <w:spacing w:after="60" w:line="252"/>
        <w:jc w:val="left"/>
      </w:pPr>
      <w:r>
        <w:rPr>
          <w:rFonts w:ascii="Arial" w:cs="Arial" w:eastAsia="Arial" w:hAnsi="Arial"/>
          <w:sz w:val="20"/>
          <w:szCs w:val="20"/>
        </w:rPr>
        <w:t xml:space="preserve">Inventarios desactualizados o que no coinciden con el SIGA.</w:t>
      </w:r>
    </w:p>
    <w:p>
      <w:pPr>
        <w:pStyle w:val="ListParagraph"/>
        <w:numPr>
          <w:ilvl w:val="0"/>
          <w:numId w:val="2"/>
        </w:numPr>
        <w:spacing w:after="60" w:line="252"/>
        <w:jc w:val="left"/>
      </w:pPr>
      <w:r>
        <w:rPr>
          <w:rFonts w:ascii="Arial" w:cs="Arial" w:eastAsia="Arial" w:hAnsi="Arial"/>
          <w:sz w:val="20"/>
          <w:szCs w:val="20"/>
        </w:rPr>
        <w:t xml:space="preserve">Información entregada solo en papel o en archivos sin orden.</w:t>
      </w:r>
    </w:p>
    <w:p>
      <w:pPr>
        <w:pStyle w:val="ListParagraph"/>
        <w:numPr>
          <w:ilvl w:val="0"/>
          <w:numId w:val="2"/>
        </w:numPr>
        <w:spacing w:after="60" w:line="252"/>
        <w:jc w:val="left"/>
      </w:pPr>
      <w:r>
        <w:rPr>
          <w:rFonts w:ascii="Arial" w:cs="Arial" w:eastAsia="Arial" w:hAnsi="Arial"/>
          <w:sz w:val="20"/>
          <w:szCs w:val="20"/>
        </w:rPr>
        <w:t xml:space="preserve">Inmuebles sin saneamiento físico legal y vehículos sin partida.</w:t>
      </w:r>
    </w:p>
    <w:p>
      <w:pPr>
        <w:pStyle w:val="ListParagraph"/>
        <w:numPr>
          <w:ilvl w:val="0"/>
          <w:numId w:val="2"/>
        </w:numPr>
        <w:spacing w:after="60" w:line="252"/>
        <w:jc w:val="left"/>
      </w:pPr>
      <w:r>
        <w:rPr>
          <w:rFonts w:ascii="Arial" w:cs="Arial" w:eastAsia="Arial" w:hAnsi="Arial"/>
          <w:sz w:val="20"/>
          <w:szCs w:val="20"/>
        </w:rPr>
        <w:t xml:space="preserve">Obras concluidas sin liquidar, u obras paralizadas sin informe de su situación.</w:t>
      </w:r>
    </w:p>
    <w:p>
      <w:pPr>
        <w:pStyle w:val="ListParagraph"/>
        <w:numPr>
          <w:ilvl w:val="0"/>
          <w:numId w:val="2"/>
        </w:numPr>
        <w:spacing w:after="60" w:line="252"/>
        <w:jc w:val="left"/>
      </w:pPr>
      <w:r>
        <w:rPr>
          <w:rFonts w:ascii="Arial" w:cs="Arial" w:eastAsia="Arial" w:hAnsi="Arial"/>
          <w:sz w:val="20"/>
          <w:szCs w:val="20"/>
        </w:rPr>
        <w:t xml:space="preserve">Deudas y compromisos no registrados en el SIAF.</w:t>
      </w:r>
    </w:p>
    <w:p>
      <w:pPr>
        <w:pStyle w:val="ListParagraph"/>
        <w:numPr>
          <w:ilvl w:val="0"/>
          <w:numId w:val="2"/>
        </w:numPr>
        <w:spacing w:after="60" w:line="252"/>
        <w:jc w:val="left"/>
      </w:pPr>
      <w:r>
        <w:rPr>
          <w:rFonts w:ascii="Arial" w:cs="Arial" w:eastAsia="Arial" w:hAnsi="Arial"/>
          <w:sz w:val="20"/>
          <w:szCs w:val="20"/>
        </w:rPr>
        <w:t xml:space="preserve">Usuarios y claves de los sistemas (SIAF, SIGA, SEACE, Invierte.pe) sin relación de responsables.</w:t>
      </w:r>
    </w:p>
    <w:p>
      <w:pPr>
        <w:pStyle w:val="ListParagraph"/>
        <w:numPr>
          <w:ilvl w:val="0"/>
          <w:numId w:val="2"/>
        </w:numPr>
        <w:spacing w:after="60" w:line="252"/>
        <w:jc w:val="left"/>
      </w:pPr>
      <w:r>
        <w:rPr>
          <w:rFonts w:ascii="Arial" w:cs="Arial" w:eastAsia="Arial" w:hAnsi="Arial"/>
          <w:sz w:val="20"/>
          <w:szCs w:val="20"/>
        </w:rPr>
        <w:t xml:space="preserve">Recomendaciones del OCI pendientes sin informe de su estado.</w:t>
      </w:r>
    </w:p>
    <w:p>
      <w:pPr>
        <w:pStyle w:val="ListParagraph"/>
        <w:numPr>
          <w:ilvl w:val="0"/>
          <w:numId w:val="2"/>
        </w:numPr>
        <w:spacing w:after="60" w:line="252"/>
        <w:jc w:val="left"/>
      </w:pPr>
      <w:r>
        <w:rPr>
          <w:rFonts w:ascii="Arial" w:cs="Arial" w:eastAsia="Arial" w:hAnsi="Arial"/>
          <w:sz w:val="20"/>
          <w:szCs w:val="20"/>
        </w:rPr>
        <w:t xml:space="preserve">Archivo central sin inventario por series documentales.</w:t>
      </w:r>
    </w:p>
    <w:p>
      <w:pPr>
        <w:pStyle w:val="Heading1"/>
        <w:keepNext/>
        <w:pBdr>
          <w:bottom w:val="single" w:color="A87C2E" w:sz="8" w:space="3"/>
        </w:pBdr>
        <w:spacing w:after="120" w:before="320"/>
      </w:pPr>
      <w:r>
        <w:rPr>
          <w:rFonts w:ascii="Arial" w:cs="Arial" w:eastAsia="Arial" w:hAnsi="Arial"/>
          <w:b/>
          <w:bCs/>
          <w:color w:val="A87C2E"/>
          <w:sz w:val="26"/>
          <w:szCs w:val="26"/>
        </w:rPr>
        <w:t xml:space="preserve">VII.  </w:t>
      </w:r>
      <w:r>
        <w:rPr>
          <w:rFonts w:ascii="Arial" w:cs="Arial" w:eastAsia="Arial" w:hAnsi="Arial"/>
          <w:b/>
          <w:bCs/>
          <w:color w:val="15233A"/>
          <w:sz w:val="26"/>
          <w:szCs w:val="26"/>
        </w:rPr>
        <w:t xml:space="preserve">Deje su gestión documentada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Una entrega ordenada es el último servicio de una gestión a su comunidad. Deja constancia de lo que se logró, protege a los funcionarios que entregan y permite que el personal permanente, que se queda, continúe el trabajo sin empezar de cero.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single" w:color="0B6E78" w:sz="24"/>
              <w:bottom w:val="none" w:color="FFFFFF" w:sz="0"/>
              <w:right w:val="none" w:color="FFFFFF" w:sz="0"/>
            </w:tcBorders>
            <w:shd w:fill="E8F3F4" w:color="auto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color w:val="0B6E78"/>
                <w:sz w:val="20"/>
                <w:szCs w:val="20"/>
              </w:rPr>
              <w:t xml:space="preserve">NÚCLEO: la memoria de la gestión no debería perderse con cada cambio</w:t>
            </w:r>
          </w:p>
          <w:p>
            <w:pPr>
              <w:spacing w:after="40" w:line="252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NÚCLEO es una plataforma peruana en la nube de gestión por resultados y por procesos con inteligencia artificial, alineada con la Ley Marco de Modernización de la Gestión del Estado (Ley N.° 27658). Ordena metas, indicadores, responsables y evidencias para que la información de una gestión quede disponible para la siguiente.</w:t>
            </w:r>
          </w:p>
          <w:p>
            <w:pPr>
              <w:spacing w:after="40" w:line="252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Conozca NÚCLEO: </w:t>
            </w:r>
            <w:r>
              <w:rPr>
                <w:rFonts w:ascii="Arial" w:cs="Arial" w:eastAsia="Arial" w:hAnsi="Arial"/>
                <w:sz w:val="20"/>
                <w:szCs w:val="20"/>
              </w:rPr>
              <w:t xml:space="preserve">nucleo.miespaciodigital.net/n2/que-es-nucleo-2/</w:t>
            </w:r>
          </w:p>
          <w:p>
            <w:pPr>
              <w:spacing w:after="40" w:line="252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Escríbanos: </w:t>
            </w:r>
            <w:r>
              <w:rPr>
                <w:rFonts w:ascii="Arial" w:cs="Arial" w:eastAsia="Arial" w:hAnsi="Arial"/>
                <w:sz w:val="20"/>
                <w:szCs w:val="20"/>
              </w:rPr>
              <w:t xml:space="preserve">nucleo@miespaciodigital.net</w:t>
            </w:r>
          </w:p>
        </w:tc>
      </w:tr>
    </w:tbl>
    <w:p>
      <w:pPr>
        <w:pStyle w:val="Heading1"/>
        <w:keepNext/>
        <w:pBdr>
          <w:bottom w:val="single" w:color="A87C2E" w:sz="8" w:space="3"/>
        </w:pBdr>
        <w:spacing w:after="120" w:before="320"/>
      </w:pPr>
      <w:r>
        <w:rPr>
          <w:rFonts w:ascii="Arial" w:cs="Arial" w:eastAsia="Arial" w:hAnsi="Arial"/>
          <w:b/>
          <w:bCs/>
          <w:color w:val="A87C2E"/>
          <w:sz w:val="26"/>
          <w:szCs w:val="26"/>
        </w:rPr>
        <w:t xml:space="preserve"/>
      </w:r>
      <w:r>
        <w:rPr>
          <w:rFonts w:ascii="Arial" w:cs="Arial" w:eastAsia="Arial" w:hAnsi="Arial"/>
          <w:b/>
          <w:bCs/>
          <w:color w:val="15233A"/>
          <w:sz w:val="26"/>
          <w:szCs w:val="26"/>
        </w:rPr>
        <w:t xml:space="preserve">Documentos que acompañan esta guía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5038"/>
      </w:tblGrid>
      <w:tr>
        <w:trPr>
          <w:cantSplit/>
          <w:tblHeader/>
        </w:trPr>
        <w:tc>
          <w:tcPr>
            <w:tcW w:type="dxa" w:w="4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Documento</w:t>
            </w:r>
          </w:p>
        </w:tc>
        <w:tc>
          <w:tcPr>
            <w:tcW w:type="dxa" w:w="5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Para qué sirve</w:t>
            </w:r>
          </w:p>
        </w:tc>
      </w:tr>
      <w:tr>
        <w:trPr>
          <w:cantSplit/>
          <w:tblHeader w:val="false"/>
        </w:trPr>
        <w:tc>
          <w:tcPr>
            <w:tcW w:type="dxa" w:w="4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Memorando interno a las áreas</w:t>
            </w:r>
          </w:p>
        </w:tc>
        <w:tc>
          <w:tcPr>
            <w:tcW w:type="dxa" w:w="5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Disponer que cada área prepare sus entregables, con responsables y plazo.</w:t>
            </w:r>
          </w:p>
        </w:tc>
      </w:tr>
      <w:tr>
        <w:trPr>
          <w:cantSplit/>
          <w:tblHeader w:val="false"/>
        </w:trPr>
        <w:tc>
          <w:tcPr>
            <w:tcW w:type="dxa" w:w="4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Oficio de convocatoria a la autoridad electa</w:t>
            </w:r>
          </w:p>
        </w:tc>
        <w:tc>
          <w:tcPr>
            <w:tcW w:type="dxa" w:w="5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Cumplir la convocatoria dentro de los 5 días hábiles siguientes a la proclamación.</w:t>
            </w:r>
          </w:p>
        </w:tc>
      </w:tr>
      <w:tr>
        <w:trPr>
          <w:cantSplit/>
          <w:tblHeader w:val="false"/>
        </w:trPr>
        <w:tc>
          <w:tcPr>
            <w:tcW w:type="dxa" w:w="4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Acta de instalación de la Comisión</w:t>
            </w:r>
          </w:p>
        </w:tc>
        <w:tc>
          <w:tcPr>
            <w:tcW w:type="dxa" w:w="5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Dejar constancia de la instalación, los integrantes y los acuerdos.</w:t>
            </w:r>
          </w:p>
        </w:tc>
      </w:tr>
      <w:tr>
        <w:trPr>
          <w:cantSplit/>
          <w:tblHeader w:val="false"/>
        </w:trPr>
        <w:tc>
          <w:tcPr>
            <w:tcW w:type="dxa" w:w="4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Checklists 0 a 3 (Excel)</w:t>
            </w:r>
          </w:p>
        </w:tc>
        <w:tc>
          <w:tcPr>
            <w:tcW w:type="dxa" w:w="5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Autoevaluar los 46 entregables y verificar bienes, presupuesto y obras con semáforo.</w:t>
            </w:r>
          </w:p>
        </w:tc>
      </w:tr>
    </w:tbl>
    <w:p>
      <w:pPr>
        <w:spacing w:after="200"/>
      </w:pPr>
    </w:p>
    <w:p>
      <w:pPr>
        <w:spacing w:after="100" w:line="264"/>
        <w:jc w:val="right"/>
      </w:pPr>
      <w:r>
        <w:rPr>
          <w:rFonts w:ascii="Arial" w:cs="Arial" w:eastAsia="Arial" w:hAnsi="Arial"/>
          <w:color w:val="55657C"/>
          <w:sz w:val="18"/>
          <w:szCs w:val="18"/>
        </w:rPr>
        <w:t xml:space="preserve">Ing. Santos Jaimes Serkovic · NÚCLEO · Octubre de 2026</w:t>
      </w:r>
    </w:p>
    <w:sectPr>
      <w:footerReference w:type="default" r:id="rId7"/>
      <w:pgSz w:w="11906" w:h="16838" w:orient="portrait"/>
      <w:pgMar w:top="1000" w:right="1134" w:bottom="100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D3DAE3" w:sz="4" w:space="4"/>
      </w:pBdr>
      <w:jc w:val="center"/>
    </w:pPr>
    <w:r>
      <w:rPr>
        <w:rFonts w:ascii="Arial" w:cs="Arial" w:eastAsia="Arial" w:hAnsi="Arial"/>
        <w:color w:val="55657C"/>
        <w:sz w:val="14"/>
        <w:szCs w:val="14"/>
      </w:rPr>
      <w:t xml:space="preserve">Kit de Entrega de Gestión 2026 · Guía · NÚCLEO · nucleo@miespaciodigital.net · Página </w:t>
    </w:r>
    <w:r>
      <w:rPr>
        <w:rFonts w:ascii="Arial" w:cs="Arial" w:eastAsia="Arial" w:hAnsi="Arial"/>
        <w:color w:val="55657C"/>
        <w:sz w:val="14"/>
        <w:szCs w:val="14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00" w:hanging="24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4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5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outlineLvl w:val="0"/>
    </w:pPr>
    <w:rPr>
      <w:rFonts w:ascii="Arial" w:cs="Arial" w:eastAsia="Arial" w:hAnsi="Arial"/>
      <w:b/>
      <w:bCs/>
      <w:color w:val="15233A"/>
      <w:sz w:val="26"/>
      <w:szCs w:val="26"/>
    </w:rPr>
  </w:style>
  <w:style w:type="paragraph" w:styleId="Heading2">
    <w:name w:val="Heading 2"/>
    <w:basedOn w:val="Normal"/>
    <w:next w:val="Normal"/>
    <w:qFormat/>
    <w:pPr>
      <w:outlineLvl w:val="1"/>
    </w:pPr>
    <w:rPr>
      <w:rFonts w:ascii="Arial" w:cs="Arial" w:eastAsia="Arial" w:hAnsi="Arial"/>
      <w:b/>
      <w:bCs/>
      <w:color w:val="0B6E78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 de Entrega de Gestión 2026 · Guía</dc:title>
  <dc:creator>Ing. Santos Jaimes Serkovic · NÚCLEO</dc:creator>
  <cp:lastModifiedBy>Un-named</cp:lastModifiedBy>
  <cp:revision>1</cp:revision>
  <dcterms:created xsi:type="dcterms:W3CDTF">2026-10-01T12:47:05.842Z</dcterms:created>
  <dcterms:modified xsi:type="dcterms:W3CDTF">2026-10-01T12:47:05.842Z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